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282D2A06"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832149">
        <w:rPr>
          <w:rFonts w:ascii="Arial" w:eastAsia="MS Mincho" w:hAnsi="Arial" w:cs="Arial"/>
          <w:b/>
          <w:sz w:val="24"/>
          <w:szCs w:val="24"/>
          <w:lang w:val="en-US"/>
        </w:rPr>
        <w:t>5</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250361">
        <w:rPr>
          <w:rFonts w:ascii="Arial" w:eastAsia="MS Mincho" w:hAnsi="Arial" w:cs="Arial"/>
          <w:b/>
          <w:sz w:val="24"/>
          <w:szCs w:val="24"/>
          <w:lang w:val="en-US"/>
        </w:rPr>
        <w:t>1</w:t>
      </w:r>
      <w:r w:rsidR="00684B34">
        <w:rPr>
          <w:rFonts w:ascii="Arial" w:eastAsia="MS Mincho" w:hAnsi="Arial" w:cs="Arial"/>
          <w:b/>
          <w:sz w:val="24"/>
          <w:szCs w:val="24"/>
          <w:lang w:val="en-US"/>
        </w:rPr>
        <w:t>9270</w:t>
      </w:r>
      <w:bookmarkStart w:id="4" w:name="_GoBack"/>
      <w:bookmarkEnd w:id="4"/>
    </w:p>
    <w:p w14:paraId="58CE81B1" w14:textId="29150690" w:rsidR="001E3B15" w:rsidRPr="005F5603" w:rsidRDefault="00832149" w:rsidP="001E3B15">
      <w:pPr>
        <w:pStyle w:val="a"/>
        <w:rPr>
          <w:rFonts w:eastAsia="SimSun"/>
          <w:bCs w:val="0"/>
          <w:sz w:val="24"/>
          <w:lang w:eastAsia="zh-CN"/>
        </w:rPr>
      </w:pPr>
      <w:bookmarkStart w:id="5" w:name="OLE_LINK1"/>
      <w:r>
        <w:rPr>
          <w:rFonts w:eastAsia="SimSun"/>
          <w:bCs w:val="0"/>
          <w:sz w:val="24"/>
          <w:lang w:eastAsia="zh-CN"/>
        </w:rPr>
        <w:t>Toulouse, France</w:t>
      </w:r>
      <w:r w:rsidR="00693733">
        <w:rPr>
          <w:rFonts w:eastAsia="SimSun"/>
          <w:bCs w:val="0"/>
          <w:sz w:val="24"/>
          <w:lang w:eastAsia="zh-CN"/>
        </w:rPr>
        <w:t xml:space="preserve">, </w:t>
      </w:r>
      <w:r w:rsidR="001C74E1">
        <w:rPr>
          <w:rFonts w:eastAsia="SimSun"/>
          <w:bCs w:val="0"/>
          <w:sz w:val="24"/>
          <w:lang w:eastAsia="zh-CN"/>
        </w:rPr>
        <w:t>1</w:t>
      </w:r>
      <w:r>
        <w:rPr>
          <w:rFonts w:eastAsia="SimSun"/>
          <w:bCs w:val="0"/>
          <w:sz w:val="24"/>
          <w:lang w:eastAsia="zh-CN"/>
        </w:rPr>
        <w:t>4</w:t>
      </w:r>
      <w:r w:rsidR="00835CD8">
        <w:rPr>
          <w:rFonts w:eastAsia="SimSun"/>
          <w:bCs w:val="0"/>
          <w:sz w:val="24"/>
          <w:lang w:eastAsia="zh-CN"/>
        </w:rPr>
        <w:t xml:space="preserve"> </w:t>
      </w:r>
      <w:r w:rsidR="00FE444D">
        <w:rPr>
          <w:rFonts w:eastAsia="SimSun"/>
          <w:bCs w:val="0"/>
          <w:sz w:val="24"/>
          <w:lang w:eastAsia="zh-CN"/>
        </w:rPr>
        <w:t xml:space="preserve">– </w:t>
      </w:r>
      <w:r w:rsidR="00BD3F4A">
        <w:rPr>
          <w:rFonts w:eastAsia="SimSun"/>
          <w:bCs w:val="0"/>
          <w:sz w:val="24"/>
          <w:lang w:eastAsia="zh-CN"/>
        </w:rPr>
        <w:t>1</w:t>
      </w:r>
      <w:r>
        <w:rPr>
          <w:rFonts w:eastAsia="SimSun"/>
          <w:bCs w:val="0"/>
          <w:sz w:val="24"/>
          <w:lang w:eastAsia="zh-CN"/>
        </w:rPr>
        <w:t>8</w:t>
      </w:r>
      <w:r w:rsidR="00FE444D">
        <w:rPr>
          <w:rFonts w:eastAsia="SimSun"/>
          <w:bCs w:val="0"/>
          <w:sz w:val="24"/>
          <w:lang w:eastAsia="zh-CN"/>
        </w:rPr>
        <w:t xml:space="preserve"> </w:t>
      </w:r>
      <w:r>
        <w:rPr>
          <w:rFonts w:eastAsia="SimSun"/>
          <w:bCs w:val="0"/>
          <w:sz w:val="24"/>
          <w:lang w:eastAsia="zh-CN"/>
        </w:rPr>
        <w:t>Novem</w:t>
      </w:r>
      <w:r w:rsidR="00BD3F4A">
        <w:rPr>
          <w:rFonts w:eastAsia="SimSun"/>
          <w:bCs w:val="0"/>
          <w:sz w:val="24"/>
          <w:lang w:eastAsia="zh-CN"/>
        </w:rPr>
        <w:t>ber</w:t>
      </w:r>
      <w:r w:rsidR="001E3B15">
        <w:rPr>
          <w:rFonts w:eastAsia="SimSun"/>
          <w:bCs w:val="0"/>
          <w:sz w:val="24"/>
          <w:lang w:eastAsia="zh-CN"/>
        </w:rPr>
        <w:t xml:space="preserve"> </w:t>
      </w:r>
      <w:r w:rsidR="001E3B15" w:rsidRPr="009F4EEE">
        <w:rPr>
          <w:rFonts w:eastAsia="SimSun"/>
          <w:bCs w:val="0"/>
          <w:sz w:val="24"/>
          <w:lang w:eastAsia="zh-CN"/>
        </w:rPr>
        <w:t>20</w:t>
      </w:r>
      <w:bookmarkEnd w:id="5"/>
      <w:r w:rsidR="00FE444D">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7763A054"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1C74E1">
        <w:rPr>
          <w:rFonts w:ascii="Arial" w:hAnsi="Arial" w:cs="Arial"/>
          <w:b/>
          <w:sz w:val="22"/>
          <w:szCs w:val="22"/>
        </w:rPr>
        <w:t>Discussion</w:t>
      </w:r>
      <w:r w:rsidR="0044416E">
        <w:rPr>
          <w:rFonts w:ascii="Arial" w:hAnsi="Arial" w:cs="Arial"/>
          <w:b/>
          <w:sz w:val="22"/>
          <w:szCs w:val="22"/>
        </w:rPr>
        <w:t xml:space="preserve"> on </w:t>
      </w:r>
      <w:r w:rsidR="00832149">
        <w:rPr>
          <w:rFonts w:ascii="Arial" w:hAnsi="Arial" w:cs="Arial"/>
          <w:b/>
          <w:sz w:val="22"/>
          <w:szCs w:val="22"/>
        </w:rPr>
        <w:t xml:space="preserve">UE frequency error requirement for </w:t>
      </w:r>
      <w:r w:rsidR="004656C2">
        <w:rPr>
          <w:rFonts w:ascii="Arial" w:hAnsi="Arial" w:cs="Arial"/>
          <w:b/>
          <w:sz w:val="22"/>
          <w:szCs w:val="22"/>
        </w:rPr>
        <w:t>IoT NTN</w:t>
      </w:r>
    </w:p>
    <w:p w14:paraId="7CF36F6C" w14:textId="6752B6C8"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C5533F">
        <w:rPr>
          <w:rFonts w:ascii="Arial" w:hAnsi="Arial" w:cs="Arial"/>
          <w:color w:val="000000" w:themeColor="text1"/>
          <w:sz w:val="22"/>
          <w:szCs w:val="22"/>
        </w:rPr>
        <w:t>9</w:t>
      </w:r>
      <w:r w:rsidR="00CB331D" w:rsidRPr="00693733">
        <w:rPr>
          <w:rFonts w:ascii="Arial" w:hAnsi="Arial" w:cs="Arial"/>
          <w:color w:val="000000" w:themeColor="text1"/>
          <w:sz w:val="22"/>
          <w:szCs w:val="22"/>
        </w:rPr>
        <w:t>.</w:t>
      </w:r>
      <w:r w:rsidR="004656C2">
        <w:rPr>
          <w:rFonts w:ascii="Arial" w:hAnsi="Arial" w:cs="Arial"/>
          <w:color w:val="000000" w:themeColor="text1"/>
          <w:sz w:val="22"/>
          <w:szCs w:val="22"/>
        </w:rPr>
        <w:t>5</w:t>
      </w:r>
      <w:r w:rsidR="009C392C">
        <w:rPr>
          <w:rFonts w:ascii="Arial" w:hAnsi="Arial" w:cs="Arial"/>
          <w:color w:val="000000" w:themeColor="text1"/>
          <w:sz w:val="22"/>
          <w:szCs w:val="22"/>
        </w:rPr>
        <w:t>.</w:t>
      </w:r>
      <w:r w:rsidR="00C5533F">
        <w:rPr>
          <w:rFonts w:ascii="Arial" w:hAnsi="Arial" w:cs="Arial"/>
          <w:color w:val="000000" w:themeColor="text1"/>
          <w:sz w:val="22"/>
          <w:szCs w:val="22"/>
        </w:rPr>
        <w:t>5</w:t>
      </w:r>
    </w:p>
    <w:p w14:paraId="22066D89" w14:textId="1FD0DD7F"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E93F1B">
        <w:rPr>
          <w:rFonts w:ascii="Arial" w:hAnsi="Arial" w:cs="Arial"/>
          <w:sz w:val="22"/>
          <w:szCs w:val="22"/>
        </w:rPr>
        <w:t>greement</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44A7086C" w14:textId="2952C379" w:rsidR="000F7612" w:rsidRDefault="00FA52F7" w:rsidP="000F7612">
      <w:r>
        <w:rPr>
          <w:color w:val="000000" w:themeColor="text1"/>
          <w:lang w:eastAsia="zh-CN"/>
        </w:rPr>
        <w:t xml:space="preserve">There were extensive discussions on the frequency error requirements for both NB-IoT and </w:t>
      </w:r>
      <w:proofErr w:type="spellStart"/>
      <w:r>
        <w:rPr>
          <w:color w:val="000000" w:themeColor="text1"/>
          <w:lang w:eastAsia="zh-CN"/>
        </w:rPr>
        <w:t>eMTC</w:t>
      </w:r>
      <w:proofErr w:type="spellEnd"/>
      <w:r>
        <w:rPr>
          <w:color w:val="000000" w:themeColor="text1"/>
          <w:lang w:eastAsia="zh-CN"/>
        </w:rPr>
        <w:t xml:space="preserve"> UEs in RAN4#104bis-e</w:t>
      </w:r>
      <w:r w:rsidR="00BF66FB">
        <w:rPr>
          <w:color w:val="000000" w:themeColor="text1"/>
          <w:lang w:eastAsia="zh-CN"/>
        </w:rPr>
        <w:t xml:space="preserve"> [1][2]</w:t>
      </w:r>
      <w:r>
        <w:rPr>
          <w:color w:val="000000" w:themeColor="text1"/>
          <w:lang w:eastAsia="zh-CN"/>
        </w:rPr>
        <w:t xml:space="preserve">, but no </w:t>
      </w:r>
      <w:r w:rsidR="00235FE9">
        <w:rPr>
          <w:color w:val="000000" w:themeColor="text1"/>
          <w:lang w:eastAsia="zh-CN"/>
        </w:rPr>
        <w:t>conclusion</w:t>
      </w:r>
      <w:r>
        <w:rPr>
          <w:color w:val="000000" w:themeColor="text1"/>
          <w:lang w:eastAsia="zh-CN"/>
        </w:rPr>
        <w:t xml:space="preserve"> was reached. </w:t>
      </w:r>
      <w:r w:rsidR="000F7612">
        <w:rPr>
          <w:color w:val="000000" w:themeColor="text1"/>
          <w:lang w:eastAsia="zh-CN"/>
        </w:rPr>
        <w:t>I</w:t>
      </w:r>
      <w:r w:rsidR="000F7612">
        <w:t>t seems that the main contentious points are:</w:t>
      </w:r>
    </w:p>
    <w:p w14:paraId="56FAE2E9" w14:textId="2B4C7807" w:rsidR="000F7612" w:rsidRDefault="000F7612" w:rsidP="000F7612">
      <w:pPr>
        <w:pStyle w:val="ListParagraph"/>
        <w:numPr>
          <w:ilvl w:val="0"/>
          <w:numId w:val="22"/>
        </w:numPr>
      </w:pPr>
      <w:r>
        <w:t xml:space="preserve">What is the reference UL frequency for computing </w:t>
      </w:r>
      <w:r w:rsidR="00190EAF">
        <w:t xml:space="preserve">the </w:t>
      </w:r>
      <w:r>
        <w:t>frequency error?</w:t>
      </w:r>
    </w:p>
    <w:p w14:paraId="71DFF004" w14:textId="77777777" w:rsidR="000F7612" w:rsidRDefault="000F7612" w:rsidP="000F7612">
      <w:pPr>
        <w:pStyle w:val="ListParagraph"/>
        <w:numPr>
          <w:ilvl w:val="0"/>
          <w:numId w:val="22"/>
        </w:numPr>
      </w:pPr>
      <w:r>
        <w:t>Whether compensation of instantaneous Doppler shift is needed;</w:t>
      </w:r>
    </w:p>
    <w:p w14:paraId="3707AE75" w14:textId="77777777" w:rsidR="000F7612" w:rsidRDefault="000F7612" w:rsidP="000F7612">
      <w:pPr>
        <w:pStyle w:val="ListParagraph"/>
        <w:numPr>
          <w:ilvl w:val="0"/>
          <w:numId w:val="22"/>
        </w:numPr>
      </w:pPr>
      <w:r>
        <w:t>How to handle repetitions and/or segmentations in UL transmissions?</w:t>
      </w:r>
    </w:p>
    <w:p w14:paraId="4C8C5594" w14:textId="293E0371" w:rsidR="00A64570" w:rsidRDefault="00AC58FB" w:rsidP="00514F67">
      <w:pPr>
        <w:rPr>
          <w:color w:val="000000" w:themeColor="text1"/>
          <w:lang w:eastAsia="zh-CN"/>
        </w:rPr>
      </w:pPr>
      <w:r>
        <w:rPr>
          <w:color w:val="000000" w:themeColor="text1"/>
          <w:lang w:eastAsia="zh-CN"/>
        </w:rPr>
        <w:t xml:space="preserve">In the following, we </w:t>
      </w:r>
      <w:r w:rsidR="00B01C08">
        <w:rPr>
          <w:color w:val="000000" w:themeColor="text1"/>
          <w:lang w:eastAsia="zh-CN"/>
        </w:rPr>
        <w:t xml:space="preserve">share our </w:t>
      </w:r>
      <w:r w:rsidR="00FA52F7">
        <w:rPr>
          <w:color w:val="000000" w:themeColor="text1"/>
          <w:lang w:eastAsia="zh-CN"/>
        </w:rPr>
        <w:t>further analysis and proposals for the issue.</w:t>
      </w:r>
    </w:p>
    <w:p w14:paraId="71CDB37F" w14:textId="24377B01" w:rsidR="00306974" w:rsidRPr="000F7612" w:rsidRDefault="003A4D57" w:rsidP="000F7612">
      <w:pPr>
        <w:pStyle w:val="Heading1"/>
        <w:tabs>
          <w:tab w:val="num" w:pos="432"/>
        </w:tabs>
        <w:ind w:left="0" w:firstLine="0"/>
        <w:rPr>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3351F72A" w14:textId="1F973B76" w:rsidR="003233C6" w:rsidRDefault="003233C6" w:rsidP="003233C6">
      <w:pPr>
        <w:pStyle w:val="Heading2"/>
        <w:rPr>
          <w:lang w:val="en-US"/>
        </w:rPr>
      </w:pPr>
      <w:r>
        <w:rPr>
          <w:lang w:val="en-US"/>
        </w:rPr>
        <w:t xml:space="preserve">2.1 </w:t>
      </w:r>
      <w:r w:rsidR="00A43DAD">
        <w:rPr>
          <w:lang w:val="en-US"/>
        </w:rPr>
        <w:t xml:space="preserve">Reference UL </w:t>
      </w:r>
      <w:r w:rsidR="00F82B64">
        <w:rPr>
          <w:lang w:val="en-US"/>
        </w:rPr>
        <w:t>carrier frequency</w:t>
      </w:r>
    </w:p>
    <w:p w14:paraId="7ACD4246" w14:textId="47B8E6D5" w:rsidR="00CB0608" w:rsidRDefault="00F82B64" w:rsidP="009F288A">
      <w:pPr>
        <w:rPr>
          <w:lang w:val="en-US"/>
        </w:rPr>
      </w:pPr>
      <w:r>
        <w:rPr>
          <w:lang w:val="en-US"/>
        </w:rPr>
        <w:t>This</w:t>
      </w:r>
      <w:r w:rsidR="00B46BD7">
        <w:rPr>
          <w:lang w:val="en-US"/>
        </w:rPr>
        <w:t xml:space="preserve"> issue is </w:t>
      </w:r>
      <w:r w:rsidR="00CB0608">
        <w:rPr>
          <w:lang w:val="en-US"/>
        </w:rPr>
        <w:t>dependent on the reference point of measurements</w:t>
      </w:r>
      <w:r w:rsidR="009F288A">
        <w:rPr>
          <w:lang w:val="en-US"/>
        </w:rPr>
        <w:t>.</w:t>
      </w:r>
      <w:r w:rsidR="00CB0608">
        <w:rPr>
          <w:lang w:val="en-US"/>
        </w:rPr>
        <w:t xml:space="preserve"> As pointed out in the discussions of the last meeting, the </w:t>
      </w:r>
      <w:r w:rsidR="005744D4">
        <w:rPr>
          <w:lang w:val="en-US"/>
        </w:rPr>
        <w:t>reference point is typically the UE antenna connector. For example, the NR-NTN UE RF requirements have the following statements</w:t>
      </w:r>
      <w:r w:rsidR="00C10BE8">
        <w:rPr>
          <w:lang w:val="en-US"/>
        </w:rPr>
        <w:t xml:space="preserve"> [3]</w:t>
      </w:r>
      <w:r w:rsidR="005744D4">
        <w:rPr>
          <w:lang w:val="en-US"/>
        </w:rPr>
        <w:t>:</w:t>
      </w:r>
    </w:p>
    <w:p w14:paraId="25C2F485" w14:textId="0BCE0CC9" w:rsidR="009F288A" w:rsidRDefault="00CB0608" w:rsidP="009F288A">
      <w:pPr>
        <w:rPr>
          <w:lang w:val="en-US"/>
        </w:rPr>
      </w:pPr>
      <w:r w:rsidRPr="00A64570">
        <w:rPr>
          <w:noProof/>
          <w:color w:val="000000" w:themeColor="text1"/>
          <w:lang w:eastAsia="zh-CN"/>
        </w:rPr>
        <mc:AlternateContent>
          <mc:Choice Requires="wps">
            <w:drawing>
              <wp:inline distT="0" distB="0" distL="0" distR="0" wp14:anchorId="3ADCEFA6" wp14:editId="56CCD9D8">
                <wp:extent cx="6120765" cy="1122035"/>
                <wp:effectExtent l="0" t="0" r="13335" b="2159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22035"/>
                        </a:xfrm>
                        <a:prstGeom prst="rect">
                          <a:avLst/>
                        </a:prstGeom>
                        <a:solidFill>
                          <a:srgbClr val="FFFFFF"/>
                        </a:solidFill>
                        <a:ln w="9525">
                          <a:solidFill>
                            <a:srgbClr val="000000"/>
                          </a:solidFill>
                          <a:miter lim="800000"/>
                          <a:headEnd/>
                          <a:tailEnd/>
                        </a:ln>
                      </wps:spPr>
                      <wps:txbx>
                        <w:txbxContent>
                          <w:p w14:paraId="25753DE8" w14:textId="77777777" w:rsidR="00CB0608" w:rsidRDefault="00CB0608" w:rsidP="00CB0608">
                            <w:pPr>
                              <w:pStyle w:val="Heading2"/>
                            </w:pPr>
                            <w:bookmarkStart w:id="6" w:name="_Toc97562281"/>
                            <w:bookmarkStart w:id="7" w:name="_Toc104122508"/>
                            <w:bookmarkStart w:id="8" w:name="_Toc104205459"/>
                            <w:bookmarkStart w:id="9" w:name="_Toc104206666"/>
                            <w:bookmarkStart w:id="10" w:name="_Toc104503626"/>
                            <w:bookmarkStart w:id="11" w:name="_Toc106127557"/>
                            <w:r>
                              <w:t>6.1</w:t>
                            </w:r>
                            <w:r>
                              <w:tab/>
                              <w:t>General</w:t>
                            </w:r>
                            <w:bookmarkEnd w:id="6"/>
                            <w:bookmarkEnd w:id="7"/>
                            <w:bookmarkEnd w:id="8"/>
                            <w:bookmarkEnd w:id="9"/>
                            <w:bookmarkEnd w:id="10"/>
                            <w:bookmarkEnd w:id="11"/>
                          </w:p>
                          <w:p w14:paraId="1DD4AC73" w14:textId="77777777" w:rsidR="00CB0608" w:rsidRPr="00CE5E85" w:rsidRDefault="00CB0608" w:rsidP="00CB0608">
                            <w:r w:rsidRPr="009C2F05">
                              <w:rPr>
                                <w:rFonts w:eastAsia="Times New Roman"/>
                              </w:rPr>
                              <w:t xml:space="preserve">Unless otherwise stated, </w:t>
                            </w:r>
                            <w:r w:rsidRPr="00CB0608">
                              <w:rPr>
                                <w:rFonts w:eastAsia="Times New Roman"/>
                                <w:highlight w:val="yellow"/>
                              </w:rPr>
                              <w:t>the transmitter characteristics for satellite access UEs are</w:t>
                            </w:r>
                            <w:r w:rsidRPr="009C2F05">
                              <w:rPr>
                                <w:rFonts w:eastAsia="Times New Roman"/>
                              </w:rPr>
                              <w:t xml:space="preserve"> </w:t>
                            </w:r>
                            <w:r w:rsidRPr="00CB0608">
                              <w:rPr>
                                <w:rFonts w:eastAsia="Times New Roman"/>
                                <w:highlight w:val="yellow"/>
                              </w:rPr>
                              <w:t>specified at the antenna connector</w:t>
                            </w:r>
                            <w:r w:rsidRPr="009C2F05">
                              <w:rPr>
                                <w:rFonts w:eastAsia="Times New Roman"/>
                              </w:rPr>
                              <w:t xml:space="preserve"> of the UE with a single or multiple transmit antenna(s). For UE with integral antenna only, a reference antenna with a gain of 0 </w:t>
                            </w:r>
                            <w:proofErr w:type="spellStart"/>
                            <w:r w:rsidRPr="009C2F05">
                              <w:rPr>
                                <w:rFonts w:eastAsia="Times New Roman"/>
                              </w:rPr>
                              <w:t>dBi</w:t>
                            </w:r>
                            <w:proofErr w:type="spellEnd"/>
                            <w:r w:rsidRPr="009C2F05">
                              <w:rPr>
                                <w:rFonts w:eastAsia="Times New Roman"/>
                              </w:rPr>
                              <w:t xml:space="preserve"> is assumed.</w:t>
                            </w:r>
                            <w:r>
                              <w:rPr>
                                <w:rFonts w:eastAsia="Times New Roman"/>
                              </w:rPr>
                              <w:t xml:space="preserve"> </w:t>
                            </w:r>
                            <w:r w:rsidRPr="00877483">
                              <w:rPr>
                                <w:rFonts w:eastAsia="Times New Roman"/>
                              </w:rPr>
                              <w:t xml:space="preserve">Handheld </w:t>
                            </w:r>
                            <w:r>
                              <w:rPr>
                                <w:rFonts w:eastAsia="Times New Roman"/>
                              </w:rPr>
                              <w:t>power class 3</w:t>
                            </w:r>
                            <w:r w:rsidRPr="00877483">
                              <w:rPr>
                                <w:rFonts w:eastAsia="Times New Roman"/>
                              </w:rPr>
                              <w:t xml:space="preserve"> UE is assumed in Rel</w:t>
                            </w:r>
                            <w:r>
                              <w:rPr>
                                <w:rFonts w:eastAsia="Times New Roman"/>
                              </w:rPr>
                              <w:t xml:space="preserve">ease </w:t>
                            </w:r>
                            <w:r w:rsidRPr="00877483">
                              <w:rPr>
                                <w:rFonts w:eastAsia="Times New Roman"/>
                              </w:rPr>
                              <w:t>17 for satellite access</w:t>
                            </w:r>
                            <w:r>
                              <w:rPr>
                                <w:rFonts w:eastAsia="Times New Roman"/>
                              </w:rPr>
                              <w:t>.</w:t>
                            </w:r>
                          </w:p>
                          <w:p w14:paraId="02E86FFA" w14:textId="77777777" w:rsidR="00CB0608" w:rsidRPr="00340914" w:rsidRDefault="00CB0608" w:rsidP="00CB0608"/>
                          <w:p w14:paraId="2A1C8624" w14:textId="77777777" w:rsidR="00CB0608" w:rsidRPr="00B01C08" w:rsidRDefault="00CB0608" w:rsidP="00CB0608">
                            <w:pPr>
                              <w:rPr>
                                <w:lang w:val="en-US"/>
                              </w:rPr>
                            </w:pPr>
                          </w:p>
                        </w:txbxContent>
                      </wps:txbx>
                      <wps:bodyPr rot="0" vert="horz" wrap="square" lIns="91440" tIns="45720" rIns="91440" bIns="45720" anchor="t" anchorCtr="0">
                        <a:noAutofit/>
                      </wps:bodyPr>
                    </wps:wsp>
                  </a:graphicData>
                </a:graphic>
              </wp:inline>
            </w:drawing>
          </mc:Choice>
          <mc:Fallback>
            <w:pict>
              <v:shapetype w14:anchorId="3ADCEFA6" id="_x0000_t202" coordsize="21600,21600" o:spt="202" path="m,l,21600r21600,l21600,xe">
                <v:stroke joinstyle="miter"/>
                <v:path gradientshapeok="t" o:connecttype="rect"/>
              </v:shapetype>
              <v:shape id="Text Box 2" o:spid="_x0000_s1026" type="#_x0000_t202" style="width:481.95pt;height:8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">
                <v:textbox>
                  <w:txbxContent>
                    <w:p w14:paraId="25753DE8" w14:textId="77777777" w:rsidR="00CB0608" w:rsidRDefault="00CB0608" w:rsidP="00CB0608">
                      <w:pPr>
                        <w:pStyle w:val="Heading2"/>
                      </w:pPr>
                      <w:bookmarkStart w:id="11" w:name="_Toc97562281"/>
                      <w:bookmarkStart w:id="12" w:name="_Toc104122508"/>
                      <w:bookmarkStart w:id="13" w:name="_Toc104205459"/>
                      <w:bookmarkStart w:id="14" w:name="_Toc104206666"/>
                      <w:bookmarkStart w:id="15" w:name="_Toc104503626"/>
                      <w:bookmarkStart w:id="16" w:name="_Toc106127557"/>
                      <w:r>
                        <w:t>6.1</w:t>
                      </w:r>
                      <w:r>
                        <w:tab/>
                        <w:t>General</w:t>
                      </w:r>
                      <w:bookmarkEnd w:id="11"/>
                      <w:bookmarkEnd w:id="12"/>
                      <w:bookmarkEnd w:id="13"/>
                      <w:bookmarkEnd w:id="14"/>
                      <w:bookmarkEnd w:id="15"/>
                      <w:bookmarkEnd w:id="16"/>
                    </w:p>
                    <w:p w14:paraId="1DD4AC73" w14:textId="77777777" w:rsidR="00CB0608" w:rsidRPr="00CE5E85" w:rsidRDefault="00CB0608" w:rsidP="00CB0608">
                      <w:r w:rsidRPr="009C2F05">
                        <w:rPr>
                          <w:rFonts w:eastAsia="Times New Roman"/>
                        </w:rPr>
                        <w:t xml:space="preserve">Unless otherwise stated, </w:t>
                      </w:r>
                      <w:r w:rsidRPr="00CB0608">
                        <w:rPr>
                          <w:rFonts w:eastAsia="Times New Roman"/>
                          <w:highlight w:val="yellow"/>
                        </w:rPr>
                        <w:t>the transmitter characteristics for satellite access UEs are</w:t>
                      </w:r>
                      <w:r w:rsidRPr="009C2F05">
                        <w:rPr>
                          <w:rFonts w:eastAsia="Times New Roman"/>
                        </w:rPr>
                        <w:t xml:space="preserve"> </w:t>
                      </w:r>
                      <w:r w:rsidRPr="00CB0608">
                        <w:rPr>
                          <w:rFonts w:eastAsia="Times New Roman"/>
                          <w:highlight w:val="yellow"/>
                        </w:rPr>
                        <w:t>specified at the antenna connector</w:t>
                      </w:r>
                      <w:r w:rsidRPr="009C2F05">
                        <w:rPr>
                          <w:rFonts w:eastAsia="Times New Roman"/>
                        </w:rPr>
                        <w:t xml:space="preserve"> of the UE with a single or multiple transmit antenna(s). For UE with integral antenna only, a reference antenna with a gain of 0 </w:t>
                      </w:r>
                      <w:proofErr w:type="spellStart"/>
                      <w:r w:rsidRPr="009C2F05">
                        <w:rPr>
                          <w:rFonts w:eastAsia="Times New Roman"/>
                        </w:rPr>
                        <w:t>dBi</w:t>
                      </w:r>
                      <w:proofErr w:type="spellEnd"/>
                      <w:r w:rsidRPr="009C2F05">
                        <w:rPr>
                          <w:rFonts w:eastAsia="Times New Roman"/>
                        </w:rPr>
                        <w:t xml:space="preserve"> is assumed.</w:t>
                      </w:r>
                      <w:r>
                        <w:rPr>
                          <w:rFonts w:eastAsia="Times New Roman"/>
                        </w:rPr>
                        <w:t xml:space="preserve"> </w:t>
                      </w:r>
                      <w:r w:rsidRPr="00877483">
                        <w:rPr>
                          <w:rFonts w:eastAsia="Times New Roman"/>
                        </w:rPr>
                        <w:t xml:space="preserve">Handheld </w:t>
                      </w:r>
                      <w:r>
                        <w:rPr>
                          <w:rFonts w:eastAsia="Times New Roman"/>
                        </w:rPr>
                        <w:t>power class 3</w:t>
                      </w:r>
                      <w:r w:rsidRPr="00877483">
                        <w:rPr>
                          <w:rFonts w:eastAsia="Times New Roman"/>
                        </w:rPr>
                        <w:t xml:space="preserve"> UE is assumed in Rel</w:t>
                      </w:r>
                      <w:r>
                        <w:rPr>
                          <w:rFonts w:eastAsia="Times New Roman"/>
                        </w:rPr>
                        <w:t xml:space="preserve">ease </w:t>
                      </w:r>
                      <w:r w:rsidRPr="00877483">
                        <w:rPr>
                          <w:rFonts w:eastAsia="Times New Roman"/>
                        </w:rPr>
                        <w:t>17 for satellite access</w:t>
                      </w:r>
                      <w:r>
                        <w:rPr>
                          <w:rFonts w:eastAsia="Times New Roman"/>
                        </w:rPr>
                        <w:t>.</w:t>
                      </w:r>
                    </w:p>
                    <w:p w14:paraId="02E86FFA" w14:textId="77777777" w:rsidR="00CB0608" w:rsidRPr="00340914" w:rsidRDefault="00CB0608" w:rsidP="00CB0608"/>
                    <w:p w14:paraId="2A1C8624" w14:textId="77777777" w:rsidR="00CB0608" w:rsidRPr="00B01C08" w:rsidRDefault="00CB0608" w:rsidP="00CB0608">
                      <w:pPr>
                        <w:rPr>
                          <w:lang w:val="en-US"/>
                        </w:rPr>
                      </w:pPr>
                    </w:p>
                  </w:txbxContent>
                </v:textbox>
                <w10:anchorlock/>
              </v:shape>
            </w:pict>
          </mc:Fallback>
        </mc:AlternateContent>
      </w:r>
    </w:p>
    <w:p w14:paraId="4C2FC16D" w14:textId="0F124E64" w:rsidR="005744D4" w:rsidRDefault="005744D4" w:rsidP="009F288A">
      <w:pPr>
        <w:rPr>
          <w:lang w:val="en-US"/>
        </w:rPr>
      </w:pPr>
      <w:r>
        <w:rPr>
          <w:lang w:val="en-US"/>
        </w:rPr>
        <w:t xml:space="preserve">Furthermore, it has been agreed </w:t>
      </w:r>
      <w:r w:rsidR="004B22C6">
        <w:rPr>
          <w:lang w:val="en-US"/>
        </w:rPr>
        <w:t xml:space="preserve">in 3GPP </w:t>
      </w:r>
      <w:r>
        <w:rPr>
          <w:lang w:val="en-US"/>
        </w:rPr>
        <w:t xml:space="preserve">that </w:t>
      </w:r>
      <w:r w:rsidR="00EC26F6">
        <w:rPr>
          <w:lang w:val="en-US"/>
        </w:rPr>
        <w:t>the NTN sa</w:t>
      </w:r>
      <w:r w:rsidR="00371284">
        <w:rPr>
          <w:lang w:val="en-US"/>
        </w:rPr>
        <w:t xml:space="preserve">tellite UE shall pre-compensates the uplink modulated carrier frequency by the estimated Doppler shift due to the fast movement of the satellites. Therefore, it is clear that the </w:t>
      </w:r>
      <w:proofErr w:type="spellStart"/>
      <w:r w:rsidR="00371284">
        <w:rPr>
          <w:lang w:val="en-US"/>
        </w:rPr>
        <w:t>centre</w:t>
      </w:r>
      <w:proofErr w:type="spellEnd"/>
      <w:r w:rsidR="00371284">
        <w:rPr>
          <w:lang w:val="en-US"/>
        </w:rPr>
        <w:t xml:space="preserve"> frequency of the signal spectrum will be offset by a few hundreds to thousands of Hertz from the nominal UL frequency signaled by the SAN, if the measurement is taken at the UE antenna connector. </w:t>
      </w:r>
    </w:p>
    <w:p w14:paraId="5EBB132E" w14:textId="1B1D075F" w:rsidR="005744D4" w:rsidRDefault="003B0774" w:rsidP="009F288A">
      <w:pPr>
        <w:rPr>
          <w:lang w:val="en-US"/>
        </w:rPr>
      </w:pPr>
      <w:r>
        <w:rPr>
          <w:lang w:val="en-US"/>
        </w:rPr>
        <w:t>It is the task of the TE to remove the pre-compensation from the measurement before comparing it with the configured UL carrier frequency. In a real network, the pre-compensation and the Doppler shift of the propagation channel will cancel each other out, resulting in the desired UL frequency received at the SAN antenna.</w:t>
      </w:r>
    </w:p>
    <w:p w14:paraId="51621B41" w14:textId="2502AFE6" w:rsidR="00A537A4" w:rsidRDefault="005474B4" w:rsidP="005474B4">
      <w:pPr>
        <w:rPr>
          <w:b/>
        </w:rPr>
      </w:pPr>
      <w:r w:rsidRPr="00B53D1C">
        <w:rPr>
          <w:b/>
        </w:rPr>
        <w:t xml:space="preserve">Proposal 1: </w:t>
      </w:r>
      <w:r w:rsidR="00DE4E00">
        <w:rPr>
          <w:b/>
        </w:rPr>
        <w:t>When measuring frequency error, t</w:t>
      </w:r>
      <w:r w:rsidR="00C81215">
        <w:rPr>
          <w:b/>
        </w:rPr>
        <w:t xml:space="preserve">he TE shall remove the </w:t>
      </w:r>
      <w:r w:rsidR="00DE4E00">
        <w:rPr>
          <w:b/>
        </w:rPr>
        <w:t xml:space="preserve">artificial frequency offset caused by the pre-compensation in the UL </w:t>
      </w:r>
      <w:r w:rsidR="00BA6AF6">
        <w:rPr>
          <w:b/>
        </w:rPr>
        <w:t>signal</w:t>
      </w:r>
      <w:r w:rsidR="00DE4E00">
        <w:rPr>
          <w:b/>
        </w:rPr>
        <w:t xml:space="preserve"> before comparing </w:t>
      </w:r>
      <w:r w:rsidR="005174D9">
        <w:rPr>
          <w:b/>
        </w:rPr>
        <w:t>the measured carrier frequency</w:t>
      </w:r>
      <w:r w:rsidR="00DE4E00">
        <w:rPr>
          <w:b/>
        </w:rPr>
        <w:t xml:space="preserve"> with the configured UL carrier frequency</w:t>
      </w:r>
      <w:r w:rsidR="00B53D1C" w:rsidRPr="00B53D1C">
        <w:rPr>
          <w:b/>
        </w:rPr>
        <w:t>.</w:t>
      </w:r>
    </w:p>
    <w:p w14:paraId="26A2AFDF" w14:textId="221084D2" w:rsidR="003B0774" w:rsidRDefault="003B0774" w:rsidP="005474B4">
      <w:r w:rsidRPr="003B0774">
        <w:t xml:space="preserve">In </w:t>
      </w:r>
      <w:r>
        <w:t xml:space="preserve">previous discussions, it is commonly assumed that the Doppler shift is estimated by the UE based on the received ephemeris information of the SAN in IE </w:t>
      </w:r>
      <w:proofErr w:type="spellStart"/>
      <w:r w:rsidRPr="003B0774">
        <w:rPr>
          <w:i/>
        </w:rPr>
        <w:t>EphemerisInfo</w:t>
      </w:r>
      <w:proofErr w:type="spellEnd"/>
      <w:r>
        <w:t xml:space="preserve"> (TS 36.331) and its own location. During conformance tests, such information </w:t>
      </w:r>
      <w:r w:rsidR="00CF4F0B">
        <w:t>is explicitly</w:t>
      </w:r>
      <w:r>
        <w:t xml:space="preserve"> provided the TE</w:t>
      </w:r>
      <w:r w:rsidR="00CF4F0B">
        <w:t>.</w:t>
      </w:r>
      <w:r w:rsidR="00C81215">
        <w:t xml:space="preserve"> Hence, it’s reasonable to assume that the TE can have the knowledge of the ideal Doppler shift.</w:t>
      </w:r>
    </w:p>
    <w:p w14:paraId="6EC41E7D" w14:textId="23629ADB" w:rsidR="00DE4E00" w:rsidRPr="005174D9" w:rsidRDefault="00DE4E00" w:rsidP="005474B4">
      <w:pPr>
        <w:rPr>
          <w:b/>
        </w:rPr>
      </w:pPr>
      <w:r w:rsidRPr="005174D9">
        <w:rPr>
          <w:b/>
        </w:rPr>
        <w:lastRenderedPageBreak/>
        <w:t>Observation 1: The measured frequency error may include both the conventional LO frequency error and the Doppler shift estimation error.</w:t>
      </w:r>
    </w:p>
    <w:p w14:paraId="5A98BFE7" w14:textId="226334F1" w:rsidR="003233C6" w:rsidRDefault="003233C6" w:rsidP="003233C6">
      <w:pPr>
        <w:pStyle w:val="Heading2"/>
        <w:rPr>
          <w:lang w:val="en-US"/>
        </w:rPr>
      </w:pPr>
      <w:r>
        <w:rPr>
          <w:lang w:val="en-US"/>
        </w:rPr>
        <w:t xml:space="preserve">2.2 </w:t>
      </w:r>
      <w:r w:rsidR="0083772C">
        <w:rPr>
          <w:lang w:val="en-US"/>
        </w:rPr>
        <w:t>Instantaneous Doppler shift</w:t>
      </w:r>
    </w:p>
    <w:p w14:paraId="3FF950A7" w14:textId="1C57F2CA" w:rsidR="00EE0C5D" w:rsidRDefault="00C10BE8" w:rsidP="00DB3044">
      <w:pPr>
        <w:rPr>
          <w:lang w:val="en-US"/>
        </w:rPr>
      </w:pPr>
      <w:r>
        <w:rPr>
          <w:lang w:val="en-US"/>
        </w:rPr>
        <w:t>Varying Doppler shift may be experienced by a</w:t>
      </w:r>
      <w:r w:rsidR="00AF6618">
        <w:rPr>
          <w:lang w:val="en-US"/>
        </w:rPr>
        <w:t>n</w:t>
      </w:r>
      <w:r>
        <w:rPr>
          <w:lang w:val="en-US"/>
        </w:rPr>
        <w:t xml:space="preserve"> NTN satellite UE in the real network due to, e.g., the change in the direction of the relative movement from the SAN. The UE shall not be prevented from pre-compensating the instantaneous Doppler shift</w:t>
      </w:r>
      <w:r w:rsidR="009E4C6E">
        <w:rPr>
          <w:lang w:val="en-US"/>
        </w:rPr>
        <w:t xml:space="preserve"> in order to achieve better link performance</w:t>
      </w:r>
      <w:r w:rsidR="00DA0320">
        <w:rPr>
          <w:lang w:val="en-US"/>
        </w:rPr>
        <w:t>.</w:t>
      </w:r>
      <w:r w:rsidR="009E4C6E">
        <w:rPr>
          <w:lang w:val="en-US"/>
        </w:rPr>
        <w:t xml:space="preserve"> In fact, this has been provisioned in the 3GPP specification [4], such as:</w:t>
      </w:r>
    </w:p>
    <w:p w14:paraId="5DE1F315" w14:textId="67DF3461" w:rsidR="009E4C6E" w:rsidRDefault="009E4C6E" w:rsidP="00DB3044">
      <w:pPr>
        <w:rPr>
          <w:lang w:val="en-US"/>
        </w:rPr>
      </w:pPr>
      <w:r w:rsidRPr="00A64570">
        <w:rPr>
          <w:noProof/>
          <w:color w:val="000000" w:themeColor="text1"/>
          <w:lang w:eastAsia="zh-CN"/>
        </w:rPr>
        <mc:AlternateContent>
          <mc:Choice Requires="wps">
            <w:drawing>
              <wp:inline distT="0" distB="0" distL="0" distR="0" wp14:anchorId="78E9632C" wp14:editId="3BD97ECF">
                <wp:extent cx="6120765" cy="4635427"/>
                <wp:effectExtent l="0" t="0" r="13335" b="133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635427"/>
                        </a:xfrm>
                        <a:prstGeom prst="rect">
                          <a:avLst/>
                        </a:prstGeom>
                        <a:solidFill>
                          <a:srgbClr val="FFFFFF"/>
                        </a:solidFill>
                        <a:ln w="9525">
                          <a:solidFill>
                            <a:srgbClr val="000000"/>
                          </a:solidFill>
                          <a:miter lim="800000"/>
                          <a:headEnd/>
                          <a:tailEnd/>
                        </a:ln>
                      </wps:spPr>
                      <wps:txbx>
                        <w:txbxContent>
                          <w:p w14:paraId="6F3463AE" w14:textId="77777777" w:rsidR="009E4C6E" w:rsidRPr="009E4C6E" w:rsidRDefault="009E4C6E" w:rsidP="009E4C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15438989"/>
                            <w:r w:rsidRPr="009E4C6E">
                              <w:rPr>
                                <w:rFonts w:ascii="Arial" w:eastAsia="Times New Roman" w:hAnsi="Arial"/>
                                <w:sz w:val="24"/>
                                <w:lang w:eastAsia="ja-JP"/>
                              </w:rPr>
                              <w:t>23.21.2.2</w:t>
                            </w:r>
                            <w:r w:rsidRPr="009E4C6E">
                              <w:rPr>
                                <w:rFonts w:ascii="Arial" w:eastAsia="Times New Roman" w:hAnsi="Arial"/>
                                <w:sz w:val="24"/>
                                <w:lang w:eastAsia="ja-JP"/>
                              </w:rPr>
                              <w:tab/>
                              <w:t>Pre-compensation by the UE</w:t>
                            </w:r>
                            <w:bookmarkEnd w:id="12"/>
                          </w:p>
                          <w:p w14:paraId="47E10A57" w14:textId="77777777" w:rsidR="009E4C6E" w:rsidRPr="009E4C6E" w:rsidRDefault="009E4C6E" w:rsidP="009E4C6E">
                            <w:pPr>
                              <w:overflowPunct w:val="0"/>
                              <w:autoSpaceDE w:val="0"/>
                              <w:autoSpaceDN w:val="0"/>
                              <w:adjustRightInd w:val="0"/>
                              <w:textAlignment w:val="baseline"/>
                              <w:rPr>
                                <w:rFonts w:eastAsia="Times New Roman"/>
                                <w:lang w:eastAsia="ja-JP"/>
                              </w:rPr>
                            </w:pPr>
                            <w:r w:rsidRPr="009E4C6E">
                              <w:rPr>
                                <w:rFonts w:eastAsia="Times New Roman"/>
                                <w:lang w:eastAsia="ja-JP"/>
                              </w:rPr>
                              <w:t>For the serving cell, the network broadcast ephemeris information and common Timing Advance (common TA) parameters.</w:t>
                            </w:r>
                          </w:p>
                          <w:p w14:paraId="1F567676" w14:textId="77777777" w:rsidR="009E4C6E" w:rsidRPr="009E4C6E" w:rsidRDefault="009E4C6E" w:rsidP="009E4C6E">
                            <w:pPr>
                              <w:overflowPunct w:val="0"/>
                              <w:autoSpaceDE w:val="0"/>
                              <w:autoSpaceDN w:val="0"/>
                              <w:adjustRightInd w:val="0"/>
                              <w:textAlignment w:val="baseline"/>
                              <w:rPr>
                                <w:rFonts w:eastAsia="Times New Roman"/>
                                <w:lang w:eastAsia="ja-JP"/>
                              </w:rPr>
                            </w:pPr>
                            <w:r w:rsidRPr="009E4C6E">
                              <w:rPr>
                                <w:rFonts w:eastAsia="Times New Roman"/>
                                <w:lang w:eastAsia="ja-JP"/>
                              </w:rPr>
                              <w:t>The UE shall have valid GNSS position as well as the satellite ephemeris and common TA before connecting to an NTN cell. To achieve synchronisation,</w:t>
                            </w:r>
                            <w:r w:rsidRPr="009E4C6E" w:rsidDel="00E50AA2">
                              <w:rPr>
                                <w:rFonts w:eastAsia="Times New Roman"/>
                                <w:lang w:eastAsia="ja-JP"/>
                              </w:rPr>
                              <w:t xml:space="preserve"> </w:t>
                            </w:r>
                            <w:r w:rsidRPr="009E4C6E">
                              <w:rPr>
                                <w:rFonts w:eastAsia="Times New Roman"/>
                                <w:lang w:eastAsia="ja-JP"/>
                              </w:rPr>
                              <w:t xml:space="preserve">before and during connection to a cell, </w:t>
                            </w:r>
                            <w:r w:rsidRPr="009E4C6E">
                              <w:rPr>
                                <w:rFonts w:eastAsia="Times New Roman"/>
                                <w:highlight w:val="yellow"/>
                                <w:lang w:eastAsia="ja-JP"/>
                              </w:rPr>
                              <w:t>the UE shall autonomously pre-compensate the Timing Advance (T</w:t>
                            </w:r>
                            <w:r w:rsidRPr="009E4C6E">
                              <w:rPr>
                                <w:rFonts w:eastAsia="Times New Roman"/>
                                <w:highlight w:val="yellow"/>
                                <w:vertAlign w:val="subscript"/>
                                <w:lang w:eastAsia="ja-JP"/>
                              </w:rPr>
                              <w:t>TA</w:t>
                            </w:r>
                            <w:r w:rsidRPr="009E4C6E">
                              <w:rPr>
                                <w:rFonts w:eastAsia="Times New Roman"/>
                                <w:highlight w:val="yellow"/>
                                <w:lang w:eastAsia="ja-JP"/>
                              </w:rPr>
                              <w:t>, see TS 36.211 [4] clause 8.1), see Figure 23.21.2.2-1, as well as the frequency doppler shift</w:t>
                            </w:r>
                            <w:r w:rsidRPr="009E4C6E">
                              <w:rPr>
                                <w:rFonts w:eastAsia="Times New Roman"/>
                                <w:lang w:eastAsia="ja-JP"/>
                              </w:rPr>
                              <w:t xml:space="preserve"> by considering the common TA, UE position and the satellite position through the satellite ephemeris.</w:t>
                            </w:r>
                          </w:p>
                          <w:p w14:paraId="530B51F3" w14:textId="77777777" w:rsidR="009E4C6E" w:rsidRPr="009E4C6E" w:rsidRDefault="009E4C6E" w:rsidP="009E4C6E">
                            <w:pPr>
                              <w:overflowPunct w:val="0"/>
                              <w:autoSpaceDE w:val="0"/>
                              <w:autoSpaceDN w:val="0"/>
                              <w:adjustRightInd w:val="0"/>
                              <w:textAlignment w:val="baseline"/>
                              <w:rPr>
                                <w:rFonts w:eastAsia="Times New Roman"/>
                                <w:lang w:eastAsia="ja-JP"/>
                              </w:rPr>
                            </w:pPr>
                            <w:r w:rsidRPr="009E4C6E">
                              <w:rPr>
                                <w:rFonts w:eastAsia="Times New Roman"/>
                                <w:lang w:eastAsia="ja-JP"/>
                              </w:rPr>
                              <w:t xml:space="preserve">In connected mode, </w:t>
                            </w:r>
                            <w:r w:rsidRPr="009E4C6E">
                              <w:rPr>
                                <w:rFonts w:eastAsia="Times New Roman"/>
                                <w:highlight w:val="yellow"/>
                                <w:lang w:eastAsia="ja-JP"/>
                              </w:rPr>
                              <w:t>the UE shall continuously update the Timing Advance and frequency pre-compensation</w:t>
                            </w:r>
                            <w:r w:rsidRPr="009E4C6E">
                              <w:rPr>
                                <w:rFonts w:eastAsia="Times New Roman"/>
                                <w:lang w:eastAsia="ja-JP"/>
                              </w:rPr>
                              <w:t>, but the UE is not expected to perform GNSS acquisition. In connected mode, upon outdated satellite ephemeris and common Timing Advance, the UE re-acquires the broadcasted parameters and upon outdated GNSS position the UE moves to idle mode.</w:t>
                            </w:r>
                          </w:p>
                          <w:p w14:paraId="7453C33F" w14:textId="77777777" w:rsidR="009E4C6E" w:rsidRPr="009E4C6E" w:rsidRDefault="009E4C6E" w:rsidP="009E4C6E">
                            <w:pPr>
                              <w:overflowPunct w:val="0"/>
                              <w:autoSpaceDE w:val="0"/>
                              <w:autoSpaceDN w:val="0"/>
                              <w:adjustRightInd w:val="0"/>
                              <w:textAlignment w:val="baseline"/>
                              <w:rPr>
                                <w:rFonts w:eastAsia="Times New Roman"/>
                                <w:lang w:eastAsia="zh-CN"/>
                              </w:rPr>
                            </w:pPr>
                            <w:r w:rsidRPr="009E4C6E">
                              <w:rPr>
                                <w:rFonts w:eastAsia="Times New Roman"/>
                                <w:lang w:eastAsia="ja-JP"/>
                              </w:rPr>
                              <w:t xml:space="preserve">The UEs may be configured to report Timing Advance at initial access or in connected mode. </w:t>
                            </w:r>
                            <w:r w:rsidRPr="009E4C6E">
                              <w:rPr>
                                <w:rFonts w:eastAsia="Times New Roman"/>
                                <w:lang w:eastAsia="zh-CN"/>
                              </w:rPr>
                              <w:t>In connected mode triggered reporting of the Timing Advance is supported.</w:t>
                            </w:r>
                          </w:p>
                          <w:p w14:paraId="4C763E46" w14:textId="77777777" w:rsidR="009E4C6E" w:rsidRPr="009E4C6E" w:rsidRDefault="009E4C6E" w:rsidP="009E4C6E">
                            <w:pPr>
                              <w:keepNext/>
                              <w:keepLines/>
                              <w:overflowPunct w:val="0"/>
                              <w:autoSpaceDE w:val="0"/>
                              <w:autoSpaceDN w:val="0"/>
                              <w:adjustRightInd w:val="0"/>
                              <w:spacing w:before="60"/>
                              <w:jc w:val="center"/>
                              <w:textAlignment w:val="baseline"/>
                              <w:rPr>
                                <w:rFonts w:ascii="Arial" w:eastAsia="Times New Roman" w:hAnsi="Arial"/>
                                <w:b/>
                                <w:lang w:eastAsia="ja-JP"/>
                              </w:rPr>
                            </w:pPr>
                            <w:r w:rsidRPr="009E4C6E">
                              <w:rPr>
                                <w:rFonts w:ascii="Arial" w:eastAsia="Times New Roman" w:hAnsi="Arial"/>
                                <w:b/>
                                <w:lang w:eastAsia="ja-JP"/>
                              </w:rPr>
                              <w:object w:dxaOrig="5936" w:dyaOrig="1945" w14:anchorId="30600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7.95pt;height:71.25pt">
                                  <v:imagedata r:id="rId6" o:title=""/>
                                </v:shape>
                                <o:OLEObject Type="Embed" ProgID="Visio.Drawing.11" ShapeID="_x0000_i1026" DrawAspect="Content" ObjectID="_1729335789" r:id="rId7"/>
                              </w:object>
                            </w:r>
                          </w:p>
                          <w:p w14:paraId="6F3FDCF7" w14:textId="77777777" w:rsidR="009E4C6E" w:rsidRPr="009E4C6E" w:rsidRDefault="009E4C6E" w:rsidP="009E4C6E">
                            <w:pPr>
                              <w:keepLines/>
                              <w:overflowPunct w:val="0"/>
                              <w:autoSpaceDE w:val="0"/>
                              <w:autoSpaceDN w:val="0"/>
                              <w:adjustRightInd w:val="0"/>
                              <w:spacing w:after="240"/>
                              <w:jc w:val="center"/>
                              <w:textAlignment w:val="baseline"/>
                              <w:rPr>
                                <w:rFonts w:ascii="Arial" w:eastAsia="Times New Roman" w:hAnsi="Arial"/>
                                <w:b/>
                                <w:lang w:eastAsia="ja-JP"/>
                              </w:rPr>
                            </w:pPr>
                            <w:r w:rsidRPr="009E4C6E">
                              <w:rPr>
                                <w:rFonts w:ascii="Arial" w:eastAsia="Times New Roman" w:hAnsi="Arial"/>
                                <w:b/>
                                <w:lang w:eastAsia="ja-JP"/>
                              </w:rPr>
                              <w:t>Figure 23.21.2.2-1 Illustration of Uplink/Downlink Radio Frame Timing at the UE</w:t>
                            </w:r>
                          </w:p>
                          <w:p w14:paraId="000CF243" w14:textId="77777777" w:rsidR="009E4C6E" w:rsidRPr="009E4C6E" w:rsidRDefault="009E4C6E" w:rsidP="009E4C6E">
                            <w:pPr>
                              <w:overflowPunct w:val="0"/>
                              <w:autoSpaceDE w:val="0"/>
                              <w:autoSpaceDN w:val="0"/>
                              <w:adjustRightInd w:val="0"/>
                              <w:textAlignment w:val="baseline"/>
                              <w:rPr>
                                <w:rFonts w:eastAsia="Times New Roman" w:cs="Helv"/>
                                <w:lang w:eastAsia="ja-JP"/>
                              </w:rPr>
                            </w:pPr>
                            <w:r w:rsidRPr="009E4C6E">
                              <w:rPr>
                                <w:rFonts w:eastAsia="Times New Roman" w:cs="Helv"/>
                                <w:lang w:eastAsia="ja-JP"/>
                              </w:rPr>
                              <w:t xml:space="preserve">While the </w:t>
                            </w:r>
                            <w:r w:rsidRPr="009E4C6E">
                              <w:rPr>
                                <w:rFonts w:eastAsia="Times New Roman" w:cs="Helv"/>
                                <w:highlight w:val="yellow"/>
                                <w:lang w:eastAsia="ja-JP"/>
                              </w:rPr>
                              <w:t xml:space="preserve">pre-compensation of the </w:t>
                            </w:r>
                            <w:r w:rsidRPr="009E4C6E">
                              <w:rPr>
                                <w:rFonts w:eastAsia="Times New Roman" w:cs="Helv"/>
                                <w:highlight w:val="yellow"/>
                                <w:lang w:eastAsia="zh-CN"/>
                              </w:rPr>
                              <w:t xml:space="preserve">instantaneous </w:t>
                            </w:r>
                            <w:r w:rsidRPr="009E4C6E">
                              <w:rPr>
                                <w:rFonts w:eastAsia="Times New Roman" w:cs="Helv"/>
                                <w:highlight w:val="yellow"/>
                                <w:lang w:eastAsia="ja-JP"/>
                              </w:rPr>
                              <w:t>Doppler shift experienced on the service link is to be performed by the UE</w:t>
                            </w:r>
                            <w:r w:rsidRPr="009E4C6E">
                              <w:rPr>
                                <w:rFonts w:eastAsia="Times New Roman" w:cs="Helv"/>
                                <w:lang w:eastAsia="ja-JP"/>
                              </w:rPr>
                              <w:t>, the management of Doppler shift experienced over the feeder link and transponder frequency error, whether introduced in Downlink or Uplink, is left to network implementation.</w:t>
                            </w:r>
                          </w:p>
                          <w:p w14:paraId="21A8F6C3" w14:textId="77777777" w:rsidR="009E4C6E" w:rsidRPr="00340914" w:rsidRDefault="009E4C6E" w:rsidP="009E4C6E"/>
                          <w:p w14:paraId="6A0F4BE3" w14:textId="77777777" w:rsidR="009E4C6E" w:rsidRPr="00B01C08" w:rsidRDefault="009E4C6E" w:rsidP="009E4C6E">
                            <w:pPr>
                              <w:rPr>
                                <w:lang w:val="en-US"/>
                              </w:rPr>
                            </w:pPr>
                          </w:p>
                        </w:txbxContent>
                      </wps:txbx>
                      <wps:bodyPr rot="0" vert="horz" wrap="square" lIns="91440" tIns="45720" rIns="91440" bIns="45720" anchor="t" anchorCtr="0">
                        <a:noAutofit/>
                      </wps:bodyPr>
                    </wps:wsp>
                  </a:graphicData>
                </a:graphic>
              </wp:inline>
            </w:drawing>
          </mc:Choice>
          <mc:Fallback>
            <w:pict>
              <v:shape w14:anchorId="78E9632C" id="_x0000_s1027" type="#_x0000_t202" style="width:481.95pt;height: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">
                <v:textbox>
                  <w:txbxContent>
                    <w:p w14:paraId="6F3463AE" w14:textId="77777777" w:rsidR="009E4C6E" w:rsidRPr="009E4C6E" w:rsidRDefault="009E4C6E" w:rsidP="009E4C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 w:name="_Toc115438989"/>
                      <w:r w:rsidRPr="009E4C6E">
                        <w:rPr>
                          <w:rFonts w:ascii="Arial" w:eastAsia="Times New Roman" w:hAnsi="Arial"/>
                          <w:sz w:val="24"/>
                          <w:lang w:eastAsia="ja-JP"/>
                        </w:rPr>
                        <w:t>23.21.2.2</w:t>
                      </w:r>
                      <w:r w:rsidRPr="009E4C6E">
                        <w:rPr>
                          <w:rFonts w:ascii="Arial" w:eastAsia="Times New Roman" w:hAnsi="Arial"/>
                          <w:sz w:val="24"/>
                          <w:lang w:eastAsia="ja-JP"/>
                        </w:rPr>
                        <w:tab/>
                        <w:t>Pre-compensation by the UE</w:t>
                      </w:r>
                      <w:bookmarkEnd w:id="18"/>
                    </w:p>
                    <w:p w14:paraId="47E10A57" w14:textId="77777777" w:rsidR="009E4C6E" w:rsidRPr="009E4C6E" w:rsidRDefault="009E4C6E" w:rsidP="009E4C6E">
                      <w:pPr>
                        <w:overflowPunct w:val="0"/>
                        <w:autoSpaceDE w:val="0"/>
                        <w:autoSpaceDN w:val="0"/>
                        <w:adjustRightInd w:val="0"/>
                        <w:textAlignment w:val="baseline"/>
                        <w:rPr>
                          <w:rFonts w:eastAsia="Times New Roman"/>
                          <w:lang w:eastAsia="ja-JP"/>
                        </w:rPr>
                      </w:pPr>
                      <w:r w:rsidRPr="009E4C6E">
                        <w:rPr>
                          <w:rFonts w:eastAsia="Times New Roman"/>
                          <w:lang w:eastAsia="ja-JP"/>
                        </w:rPr>
                        <w:t>For the serving cell, the network broadcast ephemeris information and common Timing Advance (common TA) parameters.</w:t>
                      </w:r>
                    </w:p>
                    <w:p w14:paraId="1F567676" w14:textId="77777777" w:rsidR="009E4C6E" w:rsidRPr="009E4C6E" w:rsidRDefault="009E4C6E" w:rsidP="009E4C6E">
                      <w:pPr>
                        <w:overflowPunct w:val="0"/>
                        <w:autoSpaceDE w:val="0"/>
                        <w:autoSpaceDN w:val="0"/>
                        <w:adjustRightInd w:val="0"/>
                        <w:textAlignment w:val="baseline"/>
                        <w:rPr>
                          <w:rFonts w:eastAsia="Times New Roman"/>
                          <w:lang w:eastAsia="ja-JP"/>
                        </w:rPr>
                      </w:pPr>
                      <w:r w:rsidRPr="009E4C6E">
                        <w:rPr>
                          <w:rFonts w:eastAsia="Times New Roman"/>
                          <w:lang w:eastAsia="ja-JP"/>
                        </w:rPr>
                        <w:t>The UE shall have valid GNSS position as well as the satellite ephemeris and common TA before connecting to an NTN cell. To achieve synchronisation,</w:t>
                      </w:r>
                      <w:r w:rsidRPr="009E4C6E" w:rsidDel="00E50AA2">
                        <w:rPr>
                          <w:rFonts w:eastAsia="Times New Roman"/>
                          <w:lang w:eastAsia="ja-JP"/>
                        </w:rPr>
                        <w:t xml:space="preserve"> </w:t>
                      </w:r>
                      <w:r w:rsidRPr="009E4C6E">
                        <w:rPr>
                          <w:rFonts w:eastAsia="Times New Roman"/>
                          <w:lang w:eastAsia="ja-JP"/>
                        </w:rPr>
                        <w:t xml:space="preserve">before and during connection to a cell, </w:t>
                      </w:r>
                      <w:r w:rsidRPr="009E4C6E">
                        <w:rPr>
                          <w:rFonts w:eastAsia="Times New Roman"/>
                          <w:highlight w:val="yellow"/>
                          <w:lang w:eastAsia="ja-JP"/>
                        </w:rPr>
                        <w:t>the UE shall autonomously pre-compensate the Timing Advance (T</w:t>
                      </w:r>
                      <w:r w:rsidRPr="009E4C6E">
                        <w:rPr>
                          <w:rFonts w:eastAsia="Times New Roman"/>
                          <w:highlight w:val="yellow"/>
                          <w:vertAlign w:val="subscript"/>
                          <w:lang w:eastAsia="ja-JP"/>
                        </w:rPr>
                        <w:t>TA</w:t>
                      </w:r>
                      <w:r w:rsidRPr="009E4C6E">
                        <w:rPr>
                          <w:rFonts w:eastAsia="Times New Roman"/>
                          <w:highlight w:val="yellow"/>
                          <w:lang w:eastAsia="ja-JP"/>
                        </w:rPr>
                        <w:t>, see TS 36.211 [4] clause 8.1), see Figure 23.21.2.2-1, as well as the frequency doppler shift</w:t>
                      </w:r>
                      <w:r w:rsidRPr="009E4C6E">
                        <w:rPr>
                          <w:rFonts w:eastAsia="Times New Roman"/>
                          <w:lang w:eastAsia="ja-JP"/>
                        </w:rPr>
                        <w:t xml:space="preserve"> by considering the common TA, UE position and the satellite position through the satellite ephemeris.</w:t>
                      </w:r>
                    </w:p>
                    <w:p w14:paraId="530B51F3" w14:textId="77777777" w:rsidR="009E4C6E" w:rsidRPr="009E4C6E" w:rsidRDefault="009E4C6E" w:rsidP="009E4C6E">
                      <w:pPr>
                        <w:overflowPunct w:val="0"/>
                        <w:autoSpaceDE w:val="0"/>
                        <w:autoSpaceDN w:val="0"/>
                        <w:adjustRightInd w:val="0"/>
                        <w:textAlignment w:val="baseline"/>
                        <w:rPr>
                          <w:rFonts w:eastAsia="Times New Roman"/>
                          <w:lang w:eastAsia="ja-JP"/>
                        </w:rPr>
                      </w:pPr>
                      <w:r w:rsidRPr="009E4C6E">
                        <w:rPr>
                          <w:rFonts w:eastAsia="Times New Roman"/>
                          <w:lang w:eastAsia="ja-JP"/>
                        </w:rPr>
                        <w:t xml:space="preserve">In connected mode, </w:t>
                      </w:r>
                      <w:r w:rsidRPr="009E4C6E">
                        <w:rPr>
                          <w:rFonts w:eastAsia="Times New Roman"/>
                          <w:highlight w:val="yellow"/>
                          <w:lang w:eastAsia="ja-JP"/>
                        </w:rPr>
                        <w:t>the UE shall continuously update the Timing Advance and frequency pre-compensation</w:t>
                      </w:r>
                      <w:r w:rsidRPr="009E4C6E">
                        <w:rPr>
                          <w:rFonts w:eastAsia="Times New Roman"/>
                          <w:lang w:eastAsia="ja-JP"/>
                        </w:rPr>
                        <w:t>, but the UE is not expected to perform GNSS acquisition. In connected mode, upon outdated satellite ephemeris and common Timing Advance, the UE re-acquires the broadcasted parameters and upon outdated GNSS position the UE moves to idle mode.</w:t>
                      </w:r>
                    </w:p>
                    <w:p w14:paraId="7453C33F" w14:textId="77777777" w:rsidR="009E4C6E" w:rsidRPr="009E4C6E" w:rsidRDefault="009E4C6E" w:rsidP="009E4C6E">
                      <w:pPr>
                        <w:overflowPunct w:val="0"/>
                        <w:autoSpaceDE w:val="0"/>
                        <w:autoSpaceDN w:val="0"/>
                        <w:adjustRightInd w:val="0"/>
                        <w:textAlignment w:val="baseline"/>
                        <w:rPr>
                          <w:rFonts w:eastAsia="Times New Roman"/>
                          <w:lang w:eastAsia="zh-CN"/>
                        </w:rPr>
                      </w:pPr>
                      <w:r w:rsidRPr="009E4C6E">
                        <w:rPr>
                          <w:rFonts w:eastAsia="Times New Roman"/>
                          <w:lang w:eastAsia="ja-JP"/>
                        </w:rPr>
                        <w:t xml:space="preserve">The UEs may be configured to report Timing Advance at initial access or in connected mode. </w:t>
                      </w:r>
                      <w:r w:rsidRPr="009E4C6E">
                        <w:rPr>
                          <w:rFonts w:eastAsia="Times New Roman"/>
                          <w:lang w:eastAsia="zh-CN"/>
                        </w:rPr>
                        <w:t>In connected mode triggered reporting of the Timing Advance is supported.</w:t>
                      </w:r>
                    </w:p>
                    <w:p w14:paraId="4C763E46" w14:textId="77777777" w:rsidR="009E4C6E" w:rsidRPr="009E4C6E" w:rsidRDefault="009E4C6E" w:rsidP="009E4C6E">
                      <w:pPr>
                        <w:keepNext/>
                        <w:keepLines/>
                        <w:overflowPunct w:val="0"/>
                        <w:autoSpaceDE w:val="0"/>
                        <w:autoSpaceDN w:val="0"/>
                        <w:adjustRightInd w:val="0"/>
                        <w:spacing w:before="60"/>
                        <w:jc w:val="center"/>
                        <w:textAlignment w:val="baseline"/>
                        <w:rPr>
                          <w:rFonts w:ascii="Arial" w:eastAsia="Times New Roman" w:hAnsi="Arial"/>
                          <w:b/>
                          <w:lang w:eastAsia="ja-JP"/>
                        </w:rPr>
                      </w:pPr>
                      <w:r w:rsidRPr="009E4C6E">
                        <w:rPr>
                          <w:rFonts w:ascii="Arial" w:eastAsia="Times New Roman" w:hAnsi="Arial"/>
                          <w:b/>
                          <w:lang w:eastAsia="ja-JP"/>
                        </w:rPr>
                        <w:object w:dxaOrig="6736" w:dyaOrig="2206" w14:anchorId="3060088A">
                          <v:shape id="_x0000_i1040" type="#_x0000_t75" style="width:228.05pt;height:71.15pt">
                            <v:imagedata r:id="rId8" o:title=""/>
                          </v:shape>
                          <o:OLEObject Type="Embed" ProgID="Visio.Drawing.11" ShapeID="_x0000_i1040" DrawAspect="Content" ObjectID="_1728148096" r:id="rId9"/>
                        </w:object>
                      </w:r>
                    </w:p>
                    <w:p w14:paraId="6F3FDCF7" w14:textId="77777777" w:rsidR="009E4C6E" w:rsidRPr="009E4C6E" w:rsidRDefault="009E4C6E" w:rsidP="009E4C6E">
                      <w:pPr>
                        <w:keepLines/>
                        <w:overflowPunct w:val="0"/>
                        <w:autoSpaceDE w:val="0"/>
                        <w:autoSpaceDN w:val="0"/>
                        <w:adjustRightInd w:val="0"/>
                        <w:spacing w:after="240"/>
                        <w:jc w:val="center"/>
                        <w:textAlignment w:val="baseline"/>
                        <w:rPr>
                          <w:rFonts w:ascii="Arial" w:eastAsia="Times New Roman" w:hAnsi="Arial"/>
                          <w:b/>
                          <w:lang w:eastAsia="ja-JP"/>
                        </w:rPr>
                      </w:pPr>
                      <w:r w:rsidRPr="009E4C6E">
                        <w:rPr>
                          <w:rFonts w:ascii="Arial" w:eastAsia="Times New Roman" w:hAnsi="Arial"/>
                          <w:b/>
                          <w:lang w:eastAsia="ja-JP"/>
                        </w:rPr>
                        <w:t>Figure 23.21.2.2-1 Illustration of Uplink/Downlink Radio Frame Timing at the UE</w:t>
                      </w:r>
                    </w:p>
                    <w:p w14:paraId="000CF243" w14:textId="77777777" w:rsidR="009E4C6E" w:rsidRPr="009E4C6E" w:rsidRDefault="009E4C6E" w:rsidP="009E4C6E">
                      <w:pPr>
                        <w:overflowPunct w:val="0"/>
                        <w:autoSpaceDE w:val="0"/>
                        <w:autoSpaceDN w:val="0"/>
                        <w:adjustRightInd w:val="0"/>
                        <w:textAlignment w:val="baseline"/>
                        <w:rPr>
                          <w:rFonts w:eastAsia="Times New Roman" w:cs="Helv"/>
                          <w:lang w:eastAsia="ja-JP"/>
                        </w:rPr>
                      </w:pPr>
                      <w:r w:rsidRPr="009E4C6E">
                        <w:rPr>
                          <w:rFonts w:eastAsia="Times New Roman" w:cs="Helv"/>
                          <w:lang w:eastAsia="ja-JP"/>
                        </w:rPr>
                        <w:t xml:space="preserve">While the </w:t>
                      </w:r>
                      <w:r w:rsidRPr="009E4C6E">
                        <w:rPr>
                          <w:rFonts w:eastAsia="Times New Roman" w:cs="Helv"/>
                          <w:highlight w:val="yellow"/>
                          <w:lang w:eastAsia="ja-JP"/>
                        </w:rPr>
                        <w:t xml:space="preserve">pre-compensation of the </w:t>
                      </w:r>
                      <w:r w:rsidRPr="009E4C6E">
                        <w:rPr>
                          <w:rFonts w:eastAsia="Times New Roman" w:cs="Helv"/>
                          <w:highlight w:val="yellow"/>
                          <w:lang w:eastAsia="zh-CN"/>
                        </w:rPr>
                        <w:t xml:space="preserve">instantaneous </w:t>
                      </w:r>
                      <w:r w:rsidRPr="009E4C6E">
                        <w:rPr>
                          <w:rFonts w:eastAsia="Times New Roman" w:cs="Helv"/>
                          <w:highlight w:val="yellow"/>
                          <w:lang w:eastAsia="ja-JP"/>
                        </w:rPr>
                        <w:t>Doppler shift experienced on the service link is to be performed by the UE</w:t>
                      </w:r>
                      <w:r w:rsidRPr="009E4C6E">
                        <w:rPr>
                          <w:rFonts w:eastAsia="Times New Roman" w:cs="Helv"/>
                          <w:lang w:eastAsia="ja-JP"/>
                        </w:rPr>
                        <w:t>, the management of Doppler shift experienced over the feeder link and transponder frequency error, whether introduced in Downlink or Uplink, is left to network implementation.</w:t>
                      </w:r>
                    </w:p>
                    <w:p w14:paraId="21A8F6C3" w14:textId="77777777" w:rsidR="009E4C6E" w:rsidRPr="00340914" w:rsidRDefault="009E4C6E" w:rsidP="009E4C6E"/>
                    <w:p w14:paraId="6A0F4BE3" w14:textId="77777777" w:rsidR="009E4C6E" w:rsidRPr="00B01C08" w:rsidRDefault="009E4C6E" w:rsidP="009E4C6E">
                      <w:pPr>
                        <w:rPr>
                          <w:lang w:val="en-US"/>
                        </w:rPr>
                      </w:pPr>
                    </w:p>
                  </w:txbxContent>
                </v:textbox>
                <w10:anchorlock/>
              </v:shape>
            </w:pict>
          </mc:Fallback>
        </mc:AlternateContent>
      </w:r>
    </w:p>
    <w:p w14:paraId="3894B882" w14:textId="1DF97599" w:rsidR="009E4C6E" w:rsidRDefault="00F95CDE" w:rsidP="00DB3044">
      <w:pPr>
        <w:rPr>
          <w:b/>
        </w:rPr>
      </w:pPr>
      <w:r w:rsidRPr="005174D9">
        <w:rPr>
          <w:b/>
        </w:rPr>
        <w:t xml:space="preserve">Observation </w:t>
      </w:r>
      <w:r>
        <w:rPr>
          <w:b/>
        </w:rPr>
        <w:t>2</w:t>
      </w:r>
      <w:r w:rsidRPr="005174D9">
        <w:rPr>
          <w:b/>
        </w:rPr>
        <w:t>:</w:t>
      </w:r>
      <w:r>
        <w:rPr>
          <w:b/>
        </w:rPr>
        <w:t xml:space="preserve"> The NTN satellite UE is required to autonomously and continuously pre-compensate the Timing Advance and the </w:t>
      </w:r>
      <w:r w:rsidR="00F94356">
        <w:rPr>
          <w:b/>
        </w:rPr>
        <w:t xml:space="preserve">instantaneous </w:t>
      </w:r>
      <w:r>
        <w:rPr>
          <w:b/>
        </w:rPr>
        <w:t>frequency Doppler shift.</w:t>
      </w:r>
    </w:p>
    <w:p w14:paraId="2B023F2F" w14:textId="7CF5CA4C" w:rsidR="00F95CDE" w:rsidRDefault="00F95CDE" w:rsidP="00DB3044">
      <w:pPr>
        <w:rPr>
          <w:lang w:val="en-US"/>
        </w:rPr>
      </w:pPr>
      <w:r>
        <w:rPr>
          <w:lang w:val="en-US"/>
        </w:rPr>
        <w:t xml:space="preserve">On the other hand, </w:t>
      </w:r>
      <w:r w:rsidR="000E70F5">
        <w:rPr>
          <w:lang w:val="en-US"/>
        </w:rPr>
        <w:t>it would become very complicated to measure the UE frequency error under varying Doppler shift conditions. And the minimum performance requirements could be different from those under zero/constant Doppler shift. Due to the time limit of the current WI, we propose that:</w:t>
      </w:r>
    </w:p>
    <w:p w14:paraId="617F4502" w14:textId="4AB16C5A" w:rsidR="0080528D" w:rsidRPr="005474B4" w:rsidRDefault="0080528D" w:rsidP="00DB3044">
      <w:pPr>
        <w:rPr>
          <w:b/>
          <w:lang w:val="en-US"/>
        </w:rPr>
      </w:pPr>
      <w:r w:rsidRPr="005474B4">
        <w:rPr>
          <w:b/>
          <w:lang w:val="en-US"/>
        </w:rPr>
        <w:t xml:space="preserve">Proposal 2: </w:t>
      </w:r>
      <w:r w:rsidR="000E70F5">
        <w:rPr>
          <w:b/>
          <w:lang w:val="en-US"/>
        </w:rPr>
        <w:t>Only define UE frequency error requirements under constant Doppler shift</w:t>
      </w:r>
      <w:r w:rsidR="00933C38">
        <w:rPr>
          <w:b/>
          <w:lang w:val="en-US"/>
        </w:rPr>
        <w:t xml:space="preserve"> in Rel-18</w:t>
      </w:r>
      <w:r w:rsidRPr="005474B4">
        <w:rPr>
          <w:b/>
          <w:lang w:val="en-US"/>
        </w:rPr>
        <w:t>.</w:t>
      </w:r>
    </w:p>
    <w:p w14:paraId="39C4E264" w14:textId="50222BBF" w:rsidR="003233C6" w:rsidRDefault="003233C6" w:rsidP="003233C6">
      <w:pPr>
        <w:pStyle w:val="Heading2"/>
        <w:rPr>
          <w:lang w:val="en-US"/>
        </w:rPr>
      </w:pPr>
      <w:r>
        <w:rPr>
          <w:lang w:val="en-US"/>
        </w:rPr>
        <w:t xml:space="preserve">2.3 </w:t>
      </w:r>
      <w:r w:rsidR="00F92A49">
        <w:rPr>
          <w:lang w:val="en-US"/>
        </w:rPr>
        <w:t>UL segmented transmission</w:t>
      </w:r>
    </w:p>
    <w:p w14:paraId="58AB2449" w14:textId="5AF44C03" w:rsidR="0061309B" w:rsidRDefault="009728FD" w:rsidP="0061309B">
      <w:pPr>
        <w:rPr>
          <w:lang w:val="en-US"/>
        </w:rPr>
      </w:pPr>
      <w:r>
        <w:rPr>
          <w:lang w:val="en-US"/>
        </w:rPr>
        <w:t xml:space="preserve">It is our understanding that </w:t>
      </w:r>
      <w:r w:rsidR="0061309B">
        <w:rPr>
          <w:lang w:val="en-US"/>
        </w:rPr>
        <w:t xml:space="preserve">one UL segment always contains multiple repetition units, and the following </w:t>
      </w:r>
      <w:r w:rsidR="009F3893">
        <w:rPr>
          <w:lang w:val="en-US"/>
        </w:rPr>
        <w:t xml:space="preserve">requirements </w:t>
      </w:r>
      <w:r w:rsidR="0061309B">
        <w:rPr>
          <w:lang w:val="en-US"/>
        </w:rPr>
        <w:t>have been specified by 3GPP [4]:</w:t>
      </w:r>
    </w:p>
    <w:p w14:paraId="4C79ADAD" w14:textId="3D71AD2D" w:rsidR="001B4B78" w:rsidRDefault="0061309B" w:rsidP="0061309B">
      <w:pPr>
        <w:rPr>
          <w:lang w:val="en-US"/>
        </w:rPr>
      </w:pPr>
      <w:r w:rsidRPr="00A64570">
        <w:rPr>
          <w:noProof/>
          <w:color w:val="000000" w:themeColor="text1"/>
          <w:lang w:eastAsia="zh-CN"/>
        </w:rPr>
        <w:lastRenderedPageBreak/>
        <mc:AlternateContent>
          <mc:Choice Requires="wps">
            <w:drawing>
              <wp:inline distT="0" distB="0" distL="0" distR="0" wp14:anchorId="4D0D6041" wp14:editId="1C7CAFD6">
                <wp:extent cx="6120765" cy="2859482"/>
                <wp:effectExtent l="0" t="0" r="13335" b="1714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59482"/>
                        </a:xfrm>
                        <a:prstGeom prst="rect">
                          <a:avLst/>
                        </a:prstGeom>
                        <a:solidFill>
                          <a:srgbClr val="FFFFFF"/>
                        </a:solidFill>
                        <a:ln w="9525">
                          <a:solidFill>
                            <a:srgbClr val="000000"/>
                          </a:solidFill>
                          <a:miter lim="800000"/>
                          <a:headEnd/>
                          <a:tailEnd/>
                        </a:ln>
                      </wps:spPr>
                      <wps:txbx>
                        <w:txbxContent>
                          <w:p w14:paraId="6614903C" w14:textId="77777777" w:rsidR="0061309B" w:rsidRPr="006C58CE" w:rsidRDefault="0061309B" w:rsidP="0061309B">
                            <w:pPr>
                              <w:pStyle w:val="Heading2"/>
                            </w:pPr>
                            <w:bookmarkStart w:id="13" w:name="_Toc115438985"/>
                            <w:r w:rsidRPr="006C58CE">
                              <w:t>23.21</w:t>
                            </w:r>
                            <w:r w:rsidRPr="006C58CE">
                              <w:tab/>
                              <w:t>Support for BL UEs, UEs in enhanced coverage and NB-IoT UEs over Non-Terrestrial Networks</w:t>
                            </w:r>
                            <w:bookmarkEnd w:id="13"/>
                          </w:p>
                          <w:p w14:paraId="3DEE2B9C" w14:textId="77777777" w:rsidR="0061309B" w:rsidRPr="006C58CE" w:rsidRDefault="0061309B" w:rsidP="0061309B">
                            <w:pPr>
                              <w:pStyle w:val="Heading3"/>
                            </w:pPr>
                            <w:bookmarkStart w:id="14" w:name="_Toc115438986"/>
                            <w:r w:rsidRPr="006C58CE">
                              <w:t>23.21.1</w:t>
                            </w:r>
                            <w:r w:rsidRPr="006C58CE">
                              <w:tab/>
                              <w:t>General</w:t>
                            </w:r>
                            <w:bookmarkEnd w:id="14"/>
                          </w:p>
                          <w:p w14:paraId="750BC308" w14:textId="77777777" w:rsidR="0061309B" w:rsidRPr="006C58CE" w:rsidRDefault="0061309B" w:rsidP="0061309B">
                            <w:r w:rsidRPr="006C58CE">
                              <w:t>Support for BL UEs, UEs in enhanced coverage and NB-IoT UEs over Non-Terrestrial Networks (see clause 4.12) is only applicable to E-UTRA connected to EPC. UEs not supporting NTN are barred from accessing an NTN cell.</w:t>
                            </w:r>
                          </w:p>
                          <w:p w14:paraId="5F45EF0F" w14:textId="77777777" w:rsidR="0061309B" w:rsidRPr="006C58CE" w:rsidRDefault="0061309B" w:rsidP="0061309B">
                            <w:r w:rsidRPr="006C58CE">
                              <w:t>In NTN, only BL UEs, UEs in enhanced coverage and NB-IoT UEs with GNSS capability are supported in this release of the specification.</w:t>
                            </w:r>
                          </w:p>
                          <w:p w14:paraId="18F0F4AF" w14:textId="77777777" w:rsidR="0061309B" w:rsidRPr="006C58CE" w:rsidRDefault="0061309B" w:rsidP="0061309B">
                            <w:pPr>
                              <w:rPr>
                                <w:lang w:eastAsia="zh-CN"/>
                              </w:rPr>
                            </w:pPr>
                            <w:r w:rsidRPr="006C58CE">
                              <w:rPr>
                                <w:lang w:eastAsia="zh-CN"/>
                              </w:rPr>
                              <w:t>To accommodate long propagation delays in NTN, increased timer values and window sizes, or delayed starting times are supported for the physical layer and for higher layers.</w:t>
                            </w:r>
                          </w:p>
                          <w:p w14:paraId="6EE79611" w14:textId="77777777" w:rsidR="0061309B" w:rsidRPr="006C58CE" w:rsidRDefault="0061309B" w:rsidP="0061309B">
                            <w:pPr>
                              <w:rPr>
                                <w:lang w:eastAsia="zh-CN"/>
                              </w:rPr>
                            </w:pPr>
                            <w:r w:rsidRPr="0061309B">
                              <w:rPr>
                                <w:rFonts w:cs="Helv"/>
                                <w:highlight w:val="yellow"/>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6E93AC2C" w14:textId="77777777" w:rsidR="0061309B" w:rsidRPr="00340914" w:rsidRDefault="0061309B" w:rsidP="0061309B"/>
                          <w:p w14:paraId="3241049A" w14:textId="77777777" w:rsidR="0061309B" w:rsidRPr="00B01C08" w:rsidRDefault="0061309B" w:rsidP="0061309B">
                            <w:pPr>
                              <w:rPr>
                                <w:lang w:val="en-US"/>
                              </w:rPr>
                            </w:pPr>
                          </w:p>
                        </w:txbxContent>
                      </wps:txbx>
                      <wps:bodyPr rot="0" vert="horz" wrap="square" lIns="91440" tIns="45720" rIns="91440" bIns="45720" anchor="t" anchorCtr="0">
                        <a:noAutofit/>
                      </wps:bodyPr>
                    </wps:wsp>
                  </a:graphicData>
                </a:graphic>
              </wp:inline>
            </w:drawing>
          </mc:Choice>
          <mc:Fallback>
            <w:pict>
              <v:shape w14:anchorId="4D0D6041" id="_x0000_s1028" type="#_x0000_t202" style="width:481.95pt;height:22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">
                <v:textbox>
                  <w:txbxContent>
                    <w:p w14:paraId="6614903C" w14:textId="77777777" w:rsidR="0061309B" w:rsidRPr="006C58CE" w:rsidRDefault="0061309B" w:rsidP="0061309B">
                      <w:pPr>
                        <w:pStyle w:val="Heading2"/>
                      </w:pPr>
                      <w:bookmarkStart w:id="21" w:name="_Toc115438985"/>
                      <w:r w:rsidRPr="006C58CE">
                        <w:t>23.21</w:t>
                      </w:r>
                      <w:r w:rsidRPr="006C58CE">
                        <w:tab/>
                        <w:t>Support for BL UEs, UEs in enhanced coverage and NB-IoT UEs over Non-Terrestrial Networks</w:t>
                      </w:r>
                      <w:bookmarkEnd w:id="21"/>
                    </w:p>
                    <w:p w14:paraId="3DEE2B9C" w14:textId="77777777" w:rsidR="0061309B" w:rsidRPr="006C58CE" w:rsidRDefault="0061309B" w:rsidP="0061309B">
                      <w:pPr>
                        <w:pStyle w:val="Heading3"/>
                      </w:pPr>
                      <w:bookmarkStart w:id="22" w:name="_Toc115438986"/>
                      <w:r w:rsidRPr="006C58CE">
                        <w:t>23.21.1</w:t>
                      </w:r>
                      <w:r w:rsidRPr="006C58CE">
                        <w:tab/>
                        <w:t>General</w:t>
                      </w:r>
                      <w:bookmarkEnd w:id="22"/>
                    </w:p>
                    <w:p w14:paraId="750BC308" w14:textId="77777777" w:rsidR="0061309B" w:rsidRPr="006C58CE" w:rsidRDefault="0061309B" w:rsidP="0061309B">
                      <w:r w:rsidRPr="006C58CE">
                        <w:t>Support for BL UEs, UEs in enhanced coverage and NB-IoT UEs over Non-Terrestrial Networks (see clause 4.12) is only applicable to E-UTRA connected to EPC. UEs not supporting NTN are barred from accessing an NTN cell.</w:t>
                      </w:r>
                    </w:p>
                    <w:p w14:paraId="5F45EF0F" w14:textId="77777777" w:rsidR="0061309B" w:rsidRPr="006C58CE" w:rsidRDefault="0061309B" w:rsidP="0061309B">
                      <w:r w:rsidRPr="006C58CE">
                        <w:t>In NTN, only BL UEs, UEs in enhanced coverage and NB-IoT UEs with GNSS capability are supported in this release of the specification.</w:t>
                      </w:r>
                    </w:p>
                    <w:p w14:paraId="18F0F4AF" w14:textId="77777777" w:rsidR="0061309B" w:rsidRPr="006C58CE" w:rsidRDefault="0061309B" w:rsidP="0061309B">
                      <w:pPr>
                        <w:rPr>
                          <w:lang w:eastAsia="zh-CN"/>
                        </w:rPr>
                      </w:pPr>
                      <w:r w:rsidRPr="006C58CE">
                        <w:rPr>
                          <w:lang w:eastAsia="zh-CN"/>
                        </w:rPr>
                        <w:t>To accommodate long propagation delays in NTN, increased timer values and window sizes, or delayed starting times are supported for the physical layer and for higher layers.</w:t>
                      </w:r>
                    </w:p>
                    <w:p w14:paraId="6EE79611" w14:textId="77777777" w:rsidR="0061309B" w:rsidRPr="006C58CE" w:rsidRDefault="0061309B" w:rsidP="0061309B">
                      <w:pPr>
                        <w:rPr>
                          <w:lang w:eastAsia="zh-CN"/>
                        </w:rPr>
                      </w:pPr>
                      <w:r w:rsidRPr="0061309B">
                        <w:rPr>
                          <w:rFonts w:cs="Helv"/>
                          <w:highlight w:val="yellow"/>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6E93AC2C" w14:textId="77777777" w:rsidR="0061309B" w:rsidRPr="00340914" w:rsidRDefault="0061309B" w:rsidP="0061309B"/>
                    <w:p w14:paraId="3241049A" w14:textId="77777777" w:rsidR="0061309B" w:rsidRPr="00B01C08" w:rsidRDefault="0061309B" w:rsidP="0061309B">
                      <w:pPr>
                        <w:rPr>
                          <w:lang w:val="en-US"/>
                        </w:rPr>
                      </w:pPr>
                    </w:p>
                  </w:txbxContent>
                </v:textbox>
                <w10:anchorlock/>
              </v:shape>
            </w:pict>
          </mc:Fallback>
        </mc:AlternateContent>
      </w:r>
    </w:p>
    <w:p w14:paraId="6F08B55E" w14:textId="3F2A21D4" w:rsidR="003233C6" w:rsidRDefault="0061309B" w:rsidP="003233C6">
      <w:pPr>
        <w:rPr>
          <w:b/>
          <w:lang w:val="en-US"/>
        </w:rPr>
      </w:pPr>
      <w:r>
        <w:rPr>
          <w:b/>
          <w:lang w:val="en-US"/>
        </w:rPr>
        <w:t>Observation</w:t>
      </w:r>
      <w:r w:rsidR="009761AF" w:rsidRPr="009761AF">
        <w:rPr>
          <w:b/>
          <w:lang w:val="en-US"/>
        </w:rPr>
        <w:t xml:space="preserve"> 3:</w:t>
      </w:r>
      <w:r>
        <w:rPr>
          <w:b/>
          <w:lang w:val="en-US"/>
        </w:rPr>
        <w:t xml:space="preserve"> For UL segmented transmissions, the UE is required to perform pre-compensation per segment. </w:t>
      </w:r>
      <w:r w:rsidR="004722DC">
        <w:rPr>
          <w:b/>
          <w:lang w:val="en-US"/>
        </w:rPr>
        <w:t>For HD-FDD, t</w:t>
      </w:r>
      <w:r>
        <w:rPr>
          <w:b/>
          <w:lang w:val="en-US"/>
        </w:rPr>
        <w:t xml:space="preserve">he UL gaps between the UL segmented transmissions are reserved for the UE to adapt the estimation for </w:t>
      </w:r>
      <w:r w:rsidR="00B3751C">
        <w:rPr>
          <w:b/>
          <w:lang w:val="en-US"/>
        </w:rPr>
        <w:t xml:space="preserve">the </w:t>
      </w:r>
      <w:r>
        <w:rPr>
          <w:b/>
          <w:lang w:val="en-US"/>
        </w:rPr>
        <w:t>pre-compensation.</w:t>
      </w:r>
    </w:p>
    <w:p w14:paraId="36404AB4" w14:textId="61A2120B" w:rsidR="00B0201D" w:rsidRDefault="005B6D0B" w:rsidP="003233C6">
      <w:pPr>
        <w:rPr>
          <w:lang w:val="en-US"/>
        </w:rPr>
      </w:pPr>
      <w:r w:rsidRPr="005B6D0B">
        <w:rPr>
          <w:lang w:val="en-US"/>
        </w:rPr>
        <w:t>Given the above</w:t>
      </w:r>
      <w:r w:rsidR="00AF6618">
        <w:rPr>
          <w:lang w:val="en-US"/>
        </w:rPr>
        <w:t xml:space="preserve"> restriction, the </w:t>
      </w:r>
      <w:r w:rsidR="00AF56F0">
        <w:rPr>
          <w:lang w:val="en-US"/>
        </w:rPr>
        <w:t>average frequency error of the UL segmented transmissions could increase under varying Doppler shift compared with that under constant Doppler shift. Again, due to the time limit of the current WI, we propose that;</w:t>
      </w:r>
    </w:p>
    <w:p w14:paraId="219B2ABB" w14:textId="685FB1A6" w:rsidR="00AF56F0" w:rsidRPr="00AF56F0" w:rsidRDefault="00AF56F0" w:rsidP="003233C6">
      <w:pPr>
        <w:rPr>
          <w:b/>
          <w:lang w:val="en-US"/>
        </w:rPr>
      </w:pPr>
      <w:r w:rsidRPr="00AF56F0">
        <w:rPr>
          <w:b/>
          <w:lang w:val="en-US"/>
        </w:rPr>
        <w:t xml:space="preserve">Proposal 3: For UL segmented transmissions, only consider </w:t>
      </w:r>
      <w:r w:rsidR="00FC1890">
        <w:rPr>
          <w:b/>
          <w:lang w:val="en-US"/>
        </w:rPr>
        <w:t xml:space="preserve">to define </w:t>
      </w:r>
      <w:r w:rsidRPr="00AF56F0">
        <w:rPr>
          <w:b/>
          <w:lang w:val="en-US"/>
        </w:rPr>
        <w:t>UE frequency error requirements under constant Doppler shift per segment</w:t>
      </w:r>
      <w:r w:rsidR="00933C38">
        <w:rPr>
          <w:b/>
          <w:lang w:val="en-US"/>
        </w:rPr>
        <w:t xml:space="preserve"> in Rel-18</w:t>
      </w:r>
      <w:r w:rsidRPr="00AF56F0">
        <w:rPr>
          <w:b/>
          <w:lang w:val="en-US"/>
        </w:rPr>
        <w:t>.</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5A3CCD0F" w:rsidR="00F35612" w:rsidRDefault="009501E7" w:rsidP="00F35612">
      <w:pPr>
        <w:rPr>
          <w:color w:val="000000" w:themeColor="text1"/>
          <w:lang w:val="en-US" w:eastAsia="zh-CN"/>
        </w:rPr>
      </w:pPr>
      <w:r>
        <w:rPr>
          <w:color w:val="000000" w:themeColor="text1"/>
          <w:lang w:val="en-US" w:eastAsia="zh-CN"/>
        </w:rPr>
        <w:t xml:space="preserve">In this paper, we have shared our </w:t>
      </w:r>
      <w:r w:rsidR="00E26795">
        <w:rPr>
          <w:color w:val="000000" w:themeColor="text1"/>
          <w:lang w:val="en-US" w:eastAsia="zh-CN"/>
        </w:rPr>
        <w:t xml:space="preserve">further analysis on the </w:t>
      </w:r>
      <w:r w:rsidR="004520D4">
        <w:rPr>
          <w:color w:val="000000" w:themeColor="text1"/>
          <w:lang w:val="en-US" w:eastAsia="zh-CN"/>
        </w:rPr>
        <w:t>UE frequency error requirement issue</w:t>
      </w:r>
      <w:r>
        <w:rPr>
          <w:color w:val="000000" w:themeColor="text1"/>
          <w:lang w:val="en-US" w:eastAsia="zh-CN"/>
        </w:rPr>
        <w:t>.</w:t>
      </w:r>
      <w:r w:rsidR="00E26795">
        <w:rPr>
          <w:color w:val="000000" w:themeColor="text1"/>
          <w:lang w:val="en-US" w:eastAsia="zh-CN"/>
        </w:rPr>
        <w:t xml:space="preserve"> The following </w:t>
      </w:r>
      <w:r w:rsidR="004520D4">
        <w:rPr>
          <w:color w:val="000000" w:themeColor="text1"/>
          <w:lang w:val="en-US" w:eastAsia="zh-CN"/>
        </w:rPr>
        <w:t xml:space="preserve">observations and </w:t>
      </w:r>
      <w:r w:rsidR="00E26795">
        <w:rPr>
          <w:color w:val="000000" w:themeColor="text1"/>
          <w:lang w:val="en-US" w:eastAsia="zh-CN"/>
        </w:rPr>
        <w:t>proposals are</w:t>
      </w:r>
      <w:r w:rsidR="004520D4">
        <w:rPr>
          <w:color w:val="000000" w:themeColor="text1"/>
          <w:lang w:val="en-US" w:eastAsia="zh-CN"/>
        </w:rPr>
        <w:t xml:space="preserve"> presented</w:t>
      </w:r>
      <w:r w:rsidR="00E26795">
        <w:rPr>
          <w:color w:val="000000" w:themeColor="text1"/>
          <w:lang w:val="en-US" w:eastAsia="zh-CN"/>
        </w:rPr>
        <w:t>:</w:t>
      </w:r>
    </w:p>
    <w:p w14:paraId="11824FE7" w14:textId="77777777" w:rsidR="001029AF" w:rsidRDefault="001029AF" w:rsidP="001029AF">
      <w:pPr>
        <w:rPr>
          <w:b/>
        </w:rPr>
      </w:pPr>
      <w:r w:rsidRPr="00B53D1C">
        <w:rPr>
          <w:b/>
        </w:rPr>
        <w:t xml:space="preserve">Proposal 1: </w:t>
      </w:r>
      <w:r>
        <w:rPr>
          <w:b/>
        </w:rPr>
        <w:t>When measuring frequency error, the TE shall remove the artificial frequency offset caused by the pre-compensation in the UL signal before comparing the measured carrier frequency with the configured UL carrier frequency</w:t>
      </w:r>
      <w:r w:rsidRPr="00B53D1C">
        <w:rPr>
          <w:b/>
        </w:rPr>
        <w:t>.</w:t>
      </w:r>
    </w:p>
    <w:p w14:paraId="4408F671" w14:textId="6CDB0C76" w:rsidR="00F35612" w:rsidRDefault="001029AF" w:rsidP="001E4946">
      <w:pPr>
        <w:rPr>
          <w:b/>
        </w:rPr>
      </w:pPr>
      <w:r w:rsidRPr="005174D9">
        <w:rPr>
          <w:b/>
        </w:rPr>
        <w:t>Observation 1: The measured frequency error may include both the conventional LO frequency error and the Doppler shift estimation error.</w:t>
      </w:r>
    </w:p>
    <w:p w14:paraId="35FCFCCC" w14:textId="42FE8A46" w:rsidR="001029AF" w:rsidRDefault="001029AF" w:rsidP="001029AF">
      <w:pPr>
        <w:rPr>
          <w:b/>
        </w:rPr>
      </w:pPr>
      <w:r w:rsidRPr="005174D9">
        <w:rPr>
          <w:b/>
        </w:rPr>
        <w:t xml:space="preserve">Observation </w:t>
      </w:r>
      <w:r>
        <w:rPr>
          <w:b/>
        </w:rPr>
        <w:t>2</w:t>
      </w:r>
      <w:r w:rsidRPr="005174D9">
        <w:rPr>
          <w:b/>
        </w:rPr>
        <w:t>:</w:t>
      </w:r>
      <w:r>
        <w:rPr>
          <w:b/>
        </w:rPr>
        <w:t xml:space="preserve"> The NTN satellite UE is required to autonomously and continuously pre-compensate the Timing Advance and the </w:t>
      </w:r>
      <w:r w:rsidR="00F94356">
        <w:rPr>
          <w:b/>
        </w:rPr>
        <w:t xml:space="preserve">instantaneous </w:t>
      </w:r>
      <w:r>
        <w:rPr>
          <w:b/>
        </w:rPr>
        <w:t>frequency Doppler shift.</w:t>
      </w:r>
    </w:p>
    <w:p w14:paraId="1A644CFE" w14:textId="77777777" w:rsidR="001029AF" w:rsidRPr="005474B4" w:rsidRDefault="001029AF" w:rsidP="001029AF">
      <w:pPr>
        <w:rPr>
          <w:b/>
          <w:lang w:val="en-US"/>
        </w:rPr>
      </w:pPr>
      <w:r w:rsidRPr="005474B4">
        <w:rPr>
          <w:b/>
          <w:lang w:val="en-US"/>
        </w:rPr>
        <w:t xml:space="preserve">Proposal 2: </w:t>
      </w:r>
      <w:r>
        <w:rPr>
          <w:b/>
          <w:lang w:val="en-US"/>
        </w:rPr>
        <w:t>Only define UE frequency error requirements under constant Doppler shift in Rel-18</w:t>
      </w:r>
      <w:r w:rsidRPr="005474B4">
        <w:rPr>
          <w:b/>
          <w:lang w:val="en-US"/>
        </w:rPr>
        <w:t>.</w:t>
      </w:r>
    </w:p>
    <w:p w14:paraId="02870AF7" w14:textId="06F88334" w:rsidR="001029AF" w:rsidRDefault="001029AF" w:rsidP="001029AF">
      <w:pPr>
        <w:rPr>
          <w:b/>
          <w:lang w:val="en-US"/>
        </w:rPr>
      </w:pPr>
      <w:r>
        <w:rPr>
          <w:b/>
          <w:lang w:val="en-US"/>
        </w:rPr>
        <w:t>Observation</w:t>
      </w:r>
      <w:r w:rsidRPr="009761AF">
        <w:rPr>
          <w:b/>
          <w:lang w:val="en-US"/>
        </w:rPr>
        <w:t xml:space="preserve"> 3:</w:t>
      </w:r>
      <w:r>
        <w:rPr>
          <w:b/>
          <w:lang w:val="en-US"/>
        </w:rPr>
        <w:t xml:space="preserve"> For UL segmented transmissions, the UE is required to perform pre-compensation per segment. For HD-FDD, the UL gaps between the UL segmented transmissions are reserved for the UE to adapt the estimation for</w:t>
      </w:r>
      <w:r w:rsidR="00B3751C">
        <w:rPr>
          <w:b/>
          <w:lang w:val="en-US"/>
        </w:rPr>
        <w:t xml:space="preserve"> the</w:t>
      </w:r>
      <w:r>
        <w:rPr>
          <w:b/>
          <w:lang w:val="en-US"/>
        </w:rPr>
        <w:t xml:space="preserve"> pre-compensation.</w:t>
      </w:r>
    </w:p>
    <w:p w14:paraId="7F3614C4" w14:textId="77777777" w:rsidR="001029AF" w:rsidRPr="00AF56F0" w:rsidRDefault="001029AF" w:rsidP="001029AF">
      <w:pPr>
        <w:rPr>
          <w:b/>
          <w:lang w:val="en-US"/>
        </w:rPr>
      </w:pPr>
      <w:r w:rsidRPr="00AF56F0">
        <w:rPr>
          <w:b/>
          <w:lang w:val="en-US"/>
        </w:rPr>
        <w:t xml:space="preserve">Proposal 3: For UL segmented transmissions, only consider </w:t>
      </w:r>
      <w:r>
        <w:rPr>
          <w:b/>
          <w:lang w:val="en-US"/>
        </w:rPr>
        <w:t xml:space="preserve">to define </w:t>
      </w:r>
      <w:r w:rsidRPr="00AF56F0">
        <w:rPr>
          <w:b/>
          <w:lang w:val="en-US"/>
        </w:rPr>
        <w:t>UE frequency error requirements under constant Doppler shift per segment</w:t>
      </w:r>
      <w:r>
        <w:rPr>
          <w:b/>
          <w:lang w:val="en-US"/>
        </w:rPr>
        <w:t xml:space="preserve"> in Rel-18</w:t>
      </w:r>
      <w:r w:rsidRPr="00AF56F0">
        <w:rPr>
          <w:b/>
          <w:lang w:val="en-US"/>
        </w:rPr>
        <w:t>.</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EC1C607" w14:textId="19303C8B" w:rsidR="005515C7" w:rsidRDefault="00205C2C" w:rsidP="002B4FD9">
      <w:pPr>
        <w:pStyle w:val="ListParagraph"/>
        <w:numPr>
          <w:ilvl w:val="0"/>
          <w:numId w:val="10"/>
        </w:numPr>
        <w:rPr>
          <w:lang w:eastAsia="zh-CN"/>
        </w:rPr>
      </w:pPr>
      <w:r w:rsidRPr="00D6761F">
        <w:rPr>
          <w:lang w:eastAsia="ja-JP"/>
        </w:rPr>
        <w:t>R</w:t>
      </w:r>
      <w:r w:rsidR="00FA52F7">
        <w:rPr>
          <w:lang w:eastAsia="ja-JP"/>
        </w:rPr>
        <w:t>4</w:t>
      </w:r>
      <w:r w:rsidRPr="00D6761F">
        <w:rPr>
          <w:lang w:eastAsia="ja-JP"/>
        </w:rPr>
        <w:t>-22</w:t>
      </w:r>
      <w:r w:rsidR="00F755CE">
        <w:rPr>
          <w:lang w:eastAsia="ja-JP"/>
        </w:rPr>
        <w:t>1</w:t>
      </w:r>
      <w:r w:rsidR="00FA52F7">
        <w:rPr>
          <w:lang w:eastAsia="ja-JP"/>
        </w:rPr>
        <w:t>7795</w:t>
      </w:r>
      <w:r w:rsidRPr="00D6761F">
        <w:rPr>
          <w:lang w:eastAsia="ja-JP"/>
        </w:rPr>
        <w:t xml:space="preserve"> </w:t>
      </w:r>
      <w:r w:rsidR="00FA52F7" w:rsidRPr="00FA52F7">
        <w:rPr>
          <w:lang w:eastAsia="ja-JP"/>
        </w:rPr>
        <w:t>Email discussion summary for [104-bis-</w:t>
      </w:r>
      <w:proofErr w:type="gramStart"/>
      <w:r w:rsidR="00FA52F7" w:rsidRPr="00FA52F7">
        <w:rPr>
          <w:lang w:eastAsia="ja-JP"/>
        </w:rPr>
        <w:t>e][</w:t>
      </w:r>
      <w:proofErr w:type="gramEnd"/>
      <w:r w:rsidR="00FA52F7" w:rsidRPr="00FA52F7">
        <w:rPr>
          <w:lang w:eastAsia="ja-JP"/>
        </w:rPr>
        <w:t xml:space="preserve">143] </w:t>
      </w:r>
      <w:proofErr w:type="spellStart"/>
      <w:r w:rsidR="00FA52F7" w:rsidRPr="00FA52F7">
        <w:rPr>
          <w:lang w:eastAsia="ja-JP"/>
        </w:rPr>
        <w:t>LTE_NBeMTC_NTN_UERF</w:t>
      </w:r>
      <w:proofErr w:type="spellEnd"/>
      <w:r w:rsidR="00B55B72">
        <w:rPr>
          <w:lang w:eastAsia="ja-JP"/>
        </w:rPr>
        <w:t xml:space="preserve">, </w:t>
      </w:r>
      <w:r w:rsidR="00FA52F7">
        <w:rPr>
          <w:lang w:eastAsia="ja-JP"/>
        </w:rPr>
        <w:t>Moderator (</w:t>
      </w:r>
      <w:r w:rsidR="00F755CE">
        <w:rPr>
          <w:lang w:eastAsia="ja-JP"/>
        </w:rPr>
        <w:t>MediaTek</w:t>
      </w:r>
      <w:r w:rsidR="00FA52F7">
        <w:rPr>
          <w:lang w:eastAsia="ja-JP"/>
        </w:rPr>
        <w:t>)</w:t>
      </w:r>
      <w:r w:rsidR="00F755CE">
        <w:rPr>
          <w:lang w:eastAsia="ja-JP"/>
        </w:rPr>
        <w:t xml:space="preserve">, </w:t>
      </w:r>
      <w:r w:rsidR="00B55B72">
        <w:rPr>
          <w:lang w:eastAsia="ja-JP"/>
        </w:rPr>
        <w:t>RAN</w:t>
      </w:r>
      <w:r w:rsidR="00FA52F7">
        <w:rPr>
          <w:lang w:eastAsia="ja-JP"/>
        </w:rPr>
        <w:t>4</w:t>
      </w:r>
      <w:r w:rsidR="00B55B72">
        <w:rPr>
          <w:lang w:eastAsia="ja-JP"/>
        </w:rPr>
        <w:t>#</w:t>
      </w:r>
      <w:r w:rsidR="00FA52F7">
        <w:rPr>
          <w:lang w:eastAsia="ja-JP"/>
        </w:rPr>
        <w:t>104bis-e</w:t>
      </w:r>
    </w:p>
    <w:p w14:paraId="1F1F6035" w14:textId="69773D82" w:rsidR="00E859ED" w:rsidRDefault="00836012" w:rsidP="002B4FD9">
      <w:pPr>
        <w:pStyle w:val="ListParagraph"/>
        <w:numPr>
          <w:ilvl w:val="0"/>
          <w:numId w:val="10"/>
        </w:numPr>
        <w:rPr>
          <w:lang w:eastAsia="zh-CN"/>
        </w:rPr>
      </w:pPr>
      <w:r>
        <w:rPr>
          <w:lang w:eastAsia="zh-CN"/>
        </w:rPr>
        <w:t xml:space="preserve">R4-2217747 </w:t>
      </w:r>
      <w:r w:rsidRPr="00836012">
        <w:rPr>
          <w:lang w:eastAsia="zh-CN"/>
        </w:rPr>
        <w:t>Way Forward on UE RF and System Parameters for IoT NTN</w:t>
      </w:r>
      <w:r>
        <w:rPr>
          <w:lang w:eastAsia="zh-CN"/>
        </w:rPr>
        <w:t>, MediaTek, RAN4#104bis-e</w:t>
      </w:r>
    </w:p>
    <w:p w14:paraId="2CDBE9D9" w14:textId="14A3308D" w:rsidR="00B01C08" w:rsidRDefault="00C10BE8" w:rsidP="002B4FD9">
      <w:pPr>
        <w:pStyle w:val="ListParagraph"/>
        <w:numPr>
          <w:ilvl w:val="0"/>
          <w:numId w:val="10"/>
        </w:numPr>
        <w:rPr>
          <w:lang w:eastAsia="zh-CN"/>
        </w:rPr>
      </w:pPr>
      <w:r>
        <w:rPr>
          <w:lang w:eastAsia="zh-CN"/>
        </w:rPr>
        <w:t>3GPP TS 38.101-5 V17.1.0</w:t>
      </w:r>
    </w:p>
    <w:p w14:paraId="538A4FC9" w14:textId="177B6999" w:rsidR="00C10BE8" w:rsidRDefault="00C10BE8" w:rsidP="002B4FD9">
      <w:pPr>
        <w:pStyle w:val="ListParagraph"/>
        <w:numPr>
          <w:ilvl w:val="0"/>
          <w:numId w:val="10"/>
        </w:numPr>
        <w:rPr>
          <w:lang w:eastAsia="zh-CN"/>
        </w:rPr>
      </w:pPr>
      <w:r>
        <w:rPr>
          <w:lang w:eastAsia="zh-CN"/>
        </w:rPr>
        <w:lastRenderedPageBreak/>
        <w:t>3GPP TS 36.300</w:t>
      </w:r>
      <w:r w:rsidR="007B78DE">
        <w:rPr>
          <w:lang w:eastAsia="zh-CN"/>
        </w:rPr>
        <w:t xml:space="preserve"> V17.2.0</w:t>
      </w:r>
    </w:p>
    <w:p w14:paraId="680CFC0F" w14:textId="77777777" w:rsidR="00F8454B" w:rsidRDefault="00F8454B" w:rsidP="00FB3570">
      <w:pPr>
        <w:rPr>
          <w:lang w:eastAsia="zh-CN"/>
        </w:rPr>
      </w:pPr>
    </w:p>
    <w:sectPr w:rsidR="00F8454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42964"/>
    <w:multiLevelType w:val="hybridMultilevel"/>
    <w:tmpl w:val="3E9A1D2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51D2362"/>
    <w:multiLevelType w:val="hybridMultilevel"/>
    <w:tmpl w:val="2392D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7"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0"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1" w15:restartNumberingAfterBreak="0">
    <w:nsid w:val="7D4F1AD9"/>
    <w:multiLevelType w:val="hybridMultilevel"/>
    <w:tmpl w:val="456A5980"/>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10"/>
  </w:num>
  <w:num w:numId="2">
    <w:abstractNumId w:val="12"/>
  </w:num>
  <w:num w:numId="3">
    <w:abstractNumId w:val="18"/>
  </w:num>
  <w:num w:numId="4">
    <w:abstractNumId w:val="5"/>
  </w:num>
  <w:num w:numId="5">
    <w:abstractNumId w:val="4"/>
  </w:num>
  <w:num w:numId="6">
    <w:abstractNumId w:val="8"/>
  </w:num>
  <w:num w:numId="7">
    <w:abstractNumId w:val="2"/>
  </w:num>
  <w:num w:numId="8">
    <w:abstractNumId w:val="11"/>
  </w:num>
  <w:num w:numId="9">
    <w:abstractNumId w:val="14"/>
  </w:num>
  <w:num w:numId="10">
    <w:abstractNumId w:val="9"/>
  </w:num>
  <w:num w:numId="11">
    <w:abstractNumId w:val="17"/>
  </w:num>
  <w:num w:numId="12">
    <w:abstractNumId w:val="13"/>
  </w:num>
  <w:num w:numId="13">
    <w:abstractNumId w:val="1"/>
  </w:num>
  <w:num w:numId="14">
    <w:abstractNumId w:val="7"/>
  </w:num>
  <w:num w:numId="15">
    <w:abstractNumId w:val="16"/>
  </w:num>
  <w:num w:numId="16">
    <w:abstractNumId w:val="15"/>
  </w:num>
  <w:num w:numId="17">
    <w:abstractNumId w:val="21"/>
  </w:num>
  <w:num w:numId="18">
    <w:abstractNumId w:val="0"/>
  </w:num>
  <w:num w:numId="19">
    <w:abstractNumId w:val="19"/>
  </w:num>
  <w:num w:numId="20">
    <w:abstractNumId w:val="6"/>
  </w:num>
  <w:num w:numId="21">
    <w:abstractNumId w:val="2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69D6"/>
    <w:rsid w:val="00042FDC"/>
    <w:rsid w:val="000446CD"/>
    <w:rsid w:val="00047269"/>
    <w:rsid w:val="000519FD"/>
    <w:rsid w:val="00061CBB"/>
    <w:rsid w:val="00062044"/>
    <w:rsid w:val="000629FA"/>
    <w:rsid w:val="00072035"/>
    <w:rsid w:val="00073CD8"/>
    <w:rsid w:val="00075135"/>
    <w:rsid w:val="00075D6E"/>
    <w:rsid w:val="0008020C"/>
    <w:rsid w:val="0008439E"/>
    <w:rsid w:val="000850F4"/>
    <w:rsid w:val="000861F8"/>
    <w:rsid w:val="0008788D"/>
    <w:rsid w:val="000902FD"/>
    <w:rsid w:val="00096438"/>
    <w:rsid w:val="000A2272"/>
    <w:rsid w:val="000A33B0"/>
    <w:rsid w:val="000A3E12"/>
    <w:rsid w:val="000B2EA7"/>
    <w:rsid w:val="000C036F"/>
    <w:rsid w:val="000C3038"/>
    <w:rsid w:val="000C41F9"/>
    <w:rsid w:val="000C43BD"/>
    <w:rsid w:val="000C4992"/>
    <w:rsid w:val="000C7922"/>
    <w:rsid w:val="000D4C52"/>
    <w:rsid w:val="000D506C"/>
    <w:rsid w:val="000D71E1"/>
    <w:rsid w:val="000D74E1"/>
    <w:rsid w:val="000E5300"/>
    <w:rsid w:val="000E70F5"/>
    <w:rsid w:val="000F0505"/>
    <w:rsid w:val="000F2D11"/>
    <w:rsid w:val="000F6C41"/>
    <w:rsid w:val="000F7612"/>
    <w:rsid w:val="000F77C0"/>
    <w:rsid w:val="000F7DC6"/>
    <w:rsid w:val="00100A60"/>
    <w:rsid w:val="001010BA"/>
    <w:rsid w:val="001015DC"/>
    <w:rsid w:val="001029AF"/>
    <w:rsid w:val="001034F8"/>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51A25"/>
    <w:rsid w:val="00152314"/>
    <w:rsid w:val="00154BD3"/>
    <w:rsid w:val="00157397"/>
    <w:rsid w:val="00157E0B"/>
    <w:rsid w:val="00163B46"/>
    <w:rsid w:val="00175ECD"/>
    <w:rsid w:val="00181D44"/>
    <w:rsid w:val="00183B18"/>
    <w:rsid w:val="001846C1"/>
    <w:rsid w:val="00184D31"/>
    <w:rsid w:val="00185D4F"/>
    <w:rsid w:val="00190EAF"/>
    <w:rsid w:val="00191B1B"/>
    <w:rsid w:val="00195B6F"/>
    <w:rsid w:val="00196DF1"/>
    <w:rsid w:val="001977C0"/>
    <w:rsid w:val="001A04A1"/>
    <w:rsid w:val="001A5123"/>
    <w:rsid w:val="001B19DE"/>
    <w:rsid w:val="001B4B78"/>
    <w:rsid w:val="001C39D8"/>
    <w:rsid w:val="001C74E1"/>
    <w:rsid w:val="001D743A"/>
    <w:rsid w:val="001D7764"/>
    <w:rsid w:val="001D7C04"/>
    <w:rsid w:val="001E3B15"/>
    <w:rsid w:val="001E433F"/>
    <w:rsid w:val="001E4946"/>
    <w:rsid w:val="001E56B6"/>
    <w:rsid w:val="001E65DE"/>
    <w:rsid w:val="001F459A"/>
    <w:rsid w:val="001F56E8"/>
    <w:rsid w:val="001F6CD5"/>
    <w:rsid w:val="001F746B"/>
    <w:rsid w:val="00200E3B"/>
    <w:rsid w:val="002031EA"/>
    <w:rsid w:val="00203D6E"/>
    <w:rsid w:val="00205C2C"/>
    <w:rsid w:val="0020624E"/>
    <w:rsid w:val="002106D3"/>
    <w:rsid w:val="00210E17"/>
    <w:rsid w:val="00215F28"/>
    <w:rsid w:val="00217DA2"/>
    <w:rsid w:val="0022436D"/>
    <w:rsid w:val="00225265"/>
    <w:rsid w:val="00235CA6"/>
    <w:rsid w:val="00235FE9"/>
    <w:rsid w:val="0024412D"/>
    <w:rsid w:val="00244912"/>
    <w:rsid w:val="00244B91"/>
    <w:rsid w:val="002459CA"/>
    <w:rsid w:val="00247F28"/>
    <w:rsid w:val="00250361"/>
    <w:rsid w:val="00250739"/>
    <w:rsid w:val="00251CAD"/>
    <w:rsid w:val="00254FDE"/>
    <w:rsid w:val="002629FA"/>
    <w:rsid w:val="0026302C"/>
    <w:rsid w:val="00272BF9"/>
    <w:rsid w:val="00273E82"/>
    <w:rsid w:val="002814EC"/>
    <w:rsid w:val="00281F99"/>
    <w:rsid w:val="00282D47"/>
    <w:rsid w:val="00290D0D"/>
    <w:rsid w:val="002931E0"/>
    <w:rsid w:val="002959F8"/>
    <w:rsid w:val="0029659D"/>
    <w:rsid w:val="00296728"/>
    <w:rsid w:val="002A1AF5"/>
    <w:rsid w:val="002A2C60"/>
    <w:rsid w:val="002A34ED"/>
    <w:rsid w:val="002A52EE"/>
    <w:rsid w:val="002B0F50"/>
    <w:rsid w:val="002B1974"/>
    <w:rsid w:val="002B4FD9"/>
    <w:rsid w:val="002B70C4"/>
    <w:rsid w:val="002C350C"/>
    <w:rsid w:val="002C5E16"/>
    <w:rsid w:val="002D016B"/>
    <w:rsid w:val="002D064B"/>
    <w:rsid w:val="002D29CE"/>
    <w:rsid w:val="002D41BB"/>
    <w:rsid w:val="002D5C9A"/>
    <w:rsid w:val="002E23B0"/>
    <w:rsid w:val="002E6109"/>
    <w:rsid w:val="002E628D"/>
    <w:rsid w:val="002F5FF2"/>
    <w:rsid w:val="002F6E01"/>
    <w:rsid w:val="002F7055"/>
    <w:rsid w:val="002F71D9"/>
    <w:rsid w:val="00305135"/>
    <w:rsid w:val="00306974"/>
    <w:rsid w:val="00307E3B"/>
    <w:rsid w:val="0031137E"/>
    <w:rsid w:val="00312590"/>
    <w:rsid w:val="00314063"/>
    <w:rsid w:val="0031607C"/>
    <w:rsid w:val="00316557"/>
    <w:rsid w:val="00316C2F"/>
    <w:rsid w:val="003179DE"/>
    <w:rsid w:val="003210C2"/>
    <w:rsid w:val="003233C6"/>
    <w:rsid w:val="003234B0"/>
    <w:rsid w:val="0032409D"/>
    <w:rsid w:val="00325824"/>
    <w:rsid w:val="00326295"/>
    <w:rsid w:val="00326622"/>
    <w:rsid w:val="0032692A"/>
    <w:rsid w:val="00327046"/>
    <w:rsid w:val="003326CF"/>
    <w:rsid w:val="00336541"/>
    <w:rsid w:val="00341183"/>
    <w:rsid w:val="003416C3"/>
    <w:rsid w:val="00341CC3"/>
    <w:rsid w:val="0034719F"/>
    <w:rsid w:val="0035065C"/>
    <w:rsid w:val="00350E92"/>
    <w:rsid w:val="003521FC"/>
    <w:rsid w:val="0035531C"/>
    <w:rsid w:val="00356F72"/>
    <w:rsid w:val="003676DE"/>
    <w:rsid w:val="00371284"/>
    <w:rsid w:val="003746E6"/>
    <w:rsid w:val="00376283"/>
    <w:rsid w:val="00377190"/>
    <w:rsid w:val="00377C12"/>
    <w:rsid w:val="00380C9E"/>
    <w:rsid w:val="00380EEC"/>
    <w:rsid w:val="00382D99"/>
    <w:rsid w:val="0038738F"/>
    <w:rsid w:val="00392ED7"/>
    <w:rsid w:val="00397A98"/>
    <w:rsid w:val="003A2294"/>
    <w:rsid w:val="003A4D57"/>
    <w:rsid w:val="003A572E"/>
    <w:rsid w:val="003A7CA5"/>
    <w:rsid w:val="003B0774"/>
    <w:rsid w:val="003B0D5F"/>
    <w:rsid w:val="003B11E3"/>
    <w:rsid w:val="003B4B82"/>
    <w:rsid w:val="003C292E"/>
    <w:rsid w:val="003C2B33"/>
    <w:rsid w:val="003C4BD6"/>
    <w:rsid w:val="003C6794"/>
    <w:rsid w:val="003C6B33"/>
    <w:rsid w:val="003C74C4"/>
    <w:rsid w:val="003D0274"/>
    <w:rsid w:val="003D2548"/>
    <w:rsid w:val="003D2863"/>
    <w:rsid w:val="003D58BC"/>
    <w:rsid w:val="003D6FE1"/>
    <w:rsid w:val="003E099A"/>
    <w:rsid w:val="003F0459"/>
    <w:rsid w:val="003F192C"/>
    <w:rsid w:val="003F25BF"/>
    <w:rsid w:val="003F496D"/>
    <w:rsid w:val="00402438"/>
    <w:rsid w:val="0041121A"/>
    <w:rsid w:val="004166E0"/>
    <w:rsid w:val="00417233"/>
    <w:rsid w:val="004228BB"/>
    <w:rsid w:val="00422A26"/>
    <w:rsid w:val="0042453E"/>
    <w:rsid w:val="004262C6"/>
    <w:rsid w:val="00430F81"/>
    <w:rsid w:val="00431E3D"/>
    <w:rsid w:val="00436EA0"/>
    <w:rsid w:val="00440B78"/>
    <w:rsid w:val="0044170D"/>
    <w:rsid w:val="00442061"/>
    <w:rsid w:val="00443B57"/>
    <w:rsid w:val="0044416E"/>
    <w:rsid w:val="00444F05"/>
    <w:rsid w:val="004458E8"/>
    <w:rsid w:val="00446117"/>
    <w:rsid w:val="00447EB8"/>
    <w:rsid w:val="0045028D"/>
    <w:rsid w:val="004509A8"/>
    <w:rsid w:val="004520D4"/>
    <w:rsid w:val="0045233F"/>
    <w:rsid w:val="00452FDD"/>
    <w:rsid w:val="00453C07"/>
    <w:rsid w:val="00456AC5"/>
    <w:rsid w:val="00462488"/>
    <w:rsid w:val="004656C2"/>
    <w:rsid w:val="00466EB9"/>
    <w:rsid w:val="00467616"/>
    <w:rsid w:val="00470A65"/>
    <w:rsid w:val="004722DC"/>
    <w:rsid w:val="00476D0B"/>
    <w:rsid w:val="00480B49"/>
    <w:rsid w:val="00481360"/>
    <w:rsid w:val="00483140"/>
    <w:rsid w:val="00483964"/>
    <w:rsid w:val="00486DD2"/>
    <w:rsid w:val="0048737C"/>
    <w:rsid w:val="004921E9"/>
    <w:rsid w:val="00492BEB"/>
    <w:rsid w:val="004948EE"/>
    <w:rsid w:val="00497489"/>
    <w:rsid w:val="004A0964"/>
    <w:rsid w:val="004A0C87"/>
    <w:rsid w:val="004A7D04"/>
    <w:rsid w:val="004B22C6"/>
    <w:rsid w:val="004C0F31"/>
    <w:rsid w:val="004C5FE4"/>
    <w:rsid w:val="004D75FF"/>
    <w:rsid w:val="004E10AB"/>
    <w:rsid w:val="004E37BD"/>
    <w:rsid w:val="004E6EC6"/>
    <w:rsid w:val="004F2D0E"/>
    <w:rsid w:val="004F73B7"/>
    <w:rsid w:val="004F7E7A"/>
    <w:rsid w:val="00500A63"/>
    <w:rsid w:val="00505D2C"/>
    <w:rsid w:val="005105C6"/>
    <w:rsid w:val="0051340B"/>
    <w:rsid w:val="00513FC6"/>
    <w:rsid w:val="00514F67"/>
    <w:rsid w:val="00516EC9"/>
    <w:rsid w:val="005174D9"/>
    <w:rsid w:val="00520CA0"/>
    <w:rsid w:val="005252E4"/>
    <w:rsid w:val="00531F9C"/>
    <w:rsid w:val="00532106"/>
    <w:rsid w:val="0053433A"/>
    <w:rsid w:val="00536D8C"/>
    <w:rsid w:val="00543F98"/>
    <w:rsid w:val="0054418D"/>
    <w:rsid w:val="00544613"/>
    <w:rsid w:val="00544B9E"/>
    <w:rsid w:val="00546EB2"/>
    <w:rsid w:val="005474B4"/>
    <w:rsid w:val="00550445"/>
    <w:rsid w:val="005515C7"/>
    <w:rsid w:val="00554269"/>
    <w:rsid w:val="00554D7D"/>
    <w:rsid w:val="00560A21"/>
    <w:rsid w:val="00560E38"/>
    <w:rsid w:val="00563481"/>
    <w:rsid w:val="00564A49"/>
    <w:rsid w:val="0057270E"/>
    <w:rsid w:val="0057397C"/>
    <w:rsid w:val="005744D4"/>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52AC"/>
    <w:rsid w:val="005B64A0"/>
    <w:rsid w:val="005B6D0B"/>
    <w:rsid w:val="005B78BC"/>
    <w:rsid w:val="005C0620"/>
    <w:rsid w:val="005C1B55"/>
    <w:rsid w:val="005C4DAF"/>
    <w:rsid w:val="005C4F1F"/>
    <w:rsid w:val="005D53A4"/>
    <w:rsid w:val="005D6A1E"/>
    <w:rsid w:val="005E145E"/>
    <w:rsid w:val="005E1C64"/>
    <w:rsid w:val="005F0DFA"/>
    <w:rsid w:val="005F3A5E"/>
    <w:rsid w:val="005F601C"/>
    <w:rsid w:val="005F676F"/>
    <w:rsid w:val="005F6E25"/>
    <w:rsid w:val="005F73C0"/>
    <w:rsid w:val="00605E03"/>
    <w:rsid w:val="006104E9"/>
    <w:rsid w:val="0061309B"/>
    <w:rsid w:val="00614729"/>
    <w:rsid w:val="00614E2E"/>
    <w:rsid w:val="00616CCC"/>
    <w:rsid w:val="00617851"/>
    <w:rsid w:val="006179BD"/>
    <w:rsid w:val="00617B32"/>
    <w:rsid w:val="00623F57"/>
    <w:rsid w:val="006254B6"/>
    <w:rsid w:val="00627BD9"/>
    <w:rsid w:val="00627D0A"/>
    <w:rsid w:val="00627FE1"/>
    <w:rsid w:val="0063504F"/>
    <w:rsid w:val="00635E7E"/>
    <w:rsid w:val="00641F2E"/>
    <w:rsid w:val="006440D1"/>
    <w:rsid w:val="00645D36"/>
    <w:rsid w:val="00645E45"/>
    <w:rsid w:val="00646403"/>
    <w:rsid w:val="006466F3"/>
    <w:rsid w:val="00651871"/>
    <w:rsid w:val="00656C39"/>
    <w:rsid w:val="0066204F"/>
    <w:rsid w:val="006638CD"/>
    <w:rsid w:val="00665F16"/>
    <w:rsid w:val="00667628"/>
    <w:rsid w:val="0067253D"/>
    <w:rsid w:val="0067304C"/>
    <w:rsid w:val="00674499"/>
    <w:rsid w:val="00677EDA"/>
    <w:rsid w:val="00684B34"/>
    <w:rsid w:val="00685BD0"/>
    <w:rsid w:val="00692C04"/>
    <w:rsid w:val="00693733"/>
    <w:rsid w:val="0069437D"/>
    <w:rsid w:val="006952E4"/>
    <w:rsid w:val="006A0809"/>
    <w:rsid w:val="006A416C"/>
    <w:rsid w:val="006A7976"/>
    <w:rsid w:val="006B1927"/>
    <w:rsid w:val="006B666A"/>
    <w:rsid w:val="006B7A26"/>
    <w:rsid w:val="006C42A3"/>
    <w:rsid w:val="006C656B"/>
    <w:rsid w:val="006D2773"/>
    <w:rsid w:val="006D458F"/>
    <w:rsid w:val="006D48FD"/>
    <w:rsid w:val="006D7E9E"/>
    <w:rsid w:val="006E0F84"/>
    <w:rsid w:val="006E16BF"/>
    <w:rsid w:val="006E1913"/>
    <w:rsid w:val="006E2890"/>
    <w:rsid w:val="006E2A48"/>
    <w:rsid w:val="006E61B2"/>
    <w:rsid w:val="006F1CA3"/>
    <w:rsid w:val="00700848"/>
    <w:rsid w:val="007011A2"/>
    <w:rsid w:val="00713CE6"/>
    <w:rsid w:val="0071550F"/>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508F4"/>
    <w:rsid w:val="00750B04"/>
    <w:rsid w:val="007534B7"/>
    <w:rsid w:val="00754B55"/>
    <w:rsid w:val="00754E5A"/>
    <w:rsid w:val="007562C9"/>
    <w:rsid w:val="007608F0"/>
    <w:rsid w:val="0076270C"/>
    <w:rsid w:val="00764790"/>
    <w:rsid w:val="00766434"/>
    <w:rsid w:val="0077464A"/>
    <w:rsid w:val="00776291"/>
    <w:rsid w:val="00777712"/>
    <w:rsid w:val="007813FF"/>
    <w:rsid w:val="00781A7A"/>
    <w:rsid w:val="00781C1A"/>
    <w:rsid w:val="007833FF"/>
    <w:rsid w:val="0078390C"/>
    <w:rsid w:val="0078412F"/>
    <w:rsid w:val="00792827"/>
    <w:rsid w:val="007949EB"/>
    <w:rsid w:val="00795B9A"/>
    <w:rsid w:val="007A565F"/>
    <w:rsid w:val="007B0864"/>
    <w:rsid w:val="007B26A7"/>
    <w:rsid w:val="007B2D98"/>
    <w:rsid w:val="007B70FC"/>
    <w:rsid w:val="007B729A"/>
    <w:rsid w:val="007B78DE"/>
    <w:rsid w:val="007C67AF"/>
    <w:rsid w:val="007D20A4"/>
    <w:rsid w:val="007D6A7F"/>
    <w:rsid w:val="007E70BA"/>
    <w:rsid w:val="007F17D2"/>
    <w:rsid w:val="007F22B9"/>
    <w:rsid w:val="007F65B1"/>
    <w:rsid w:val="007F7DD8"/>
    <w:rsid w:val="008024A8"/>
    <w:rsid w:val="00802BCD"/>
    <w:rsid w:val="0080528D"/>
    <w:rsid w:val="0080593F"/>
    <w:rsid w:val="008112E7"/>
    <w:rsid w:val="00820B7D"/>
    <w:rsid w:val="00823FF2"/>
    <w:rsid w:val="008259F4"/>
    <w:rsid w:val="00826304"/>
    <w:rsid w:val="00826369"/>
    <w:rsid w:val="00831FE5"/>
    <w:rsid w:val="00832149"/>
    <w:rsid w:val="00835A99"/>
    <w:rsid w:val="00835CD8"/>
    <w:rsid w:val="00836012"/>
    <w:rsid w:val="00836D6F"/>
    <w:rsid w:val="0083772C"/>
    <w:rsid w:val="00841112"/>
    <w:rsid w:val="00842AE0"/>
    <w:rsid w:val="008555AC"/>
    <w:rsid w:val="00856712"/>
    <w:rsid w:val="0085704B"/>
    <w:rsid w:val="0086032C"/>
    <w:rsid w:val="00861EBB"/>
    <w:rsid w:val="008625ED"/>
    <w:rsid w:val="0086508F"/>
    <w:rsid w:val="0086526E"/>
    <w:rsid w:val="00867EC5"/>
    <w:rsid w:val="00874750"/>
    <w:rsid w:val="008768E1"/>
    <w:rsid w:val="0088214A"/>
    <w:rsid w:val="008862C4"/>
    <w:rsid w:val="008901AC"/>
    <w:rsid w:val="00893D2F"/>
    <w:rsid w:val="00895A5B"/>
    <w:rsid w:val="0089654D"/>
    <w:rsid w:val="0089701D"/>
    <w:rsid w:val="008A04CE"/>
    <w:rsid w:val="008A20A2"/>
    <w:rsid w:val="008B2BD5"/>
    <w:rsid w:val="008B3907"/>
    <w:rsid w:val="008C1D06"/>
    <w:rsid w:val="008C470E"/>
    <w:rsid w:val="008D0F70"/>
    <w:rsid w:val="008D1495"/>
    <w:rsid w:val="008D1EFE"/>
    <w:rsid w:val="008D2D90"/>
    <w:rsid w:val="008D2F99"/>
    <w:rsid w:val="008E326C"/>
    <w:rsid w:val="008E7DEC"/>
    <w:rsid w:val="0090047A"/>
    <w:rsid w:val="009046F3"/>
    <w:rsid w:val="009072E3"/>
    <w:rsid w:val="009103E1"/>
    <w:rsid w:val="00913179"/>
    <w:rsid w:val="00914E26"/>
    <w:rsid w:val="0092430B"/>
    <w:rsid w:val="00933C38"/>
    <w:rsid w:val="00934C7C"/>
    <w:rsid w:val="00934EB2"/>
    <w:rsid w:val="00940F4F"/>
    <w:rsid w:val="009434D1"/>
    <w:rsid w:val="009446C0"/>
    <w:rsid w:val="00944A38"/>
    <w:rsid w:val="00945A8A"/>
    <w:rsid w:val="00947C41"/>
    <w:rsid w:val="009501E7"/>
    <w:rsid w:val="009533AD"/>
    <w:rsid w:val="00954DF5"/>
    <w:rsid w:val="00964545"/>
    <w:rsid w:val="00965724"/>
    <w:rsid w:val="00966101"/>
    <w:rsid w:val="009708CE"/>
    <w:rsid w:val="00972363"/>
    <w:rsid w:val="009728FD"/>
    <w:rsid w:val="009761AF"/>
    <w:rsid w:val="00977A11"/>
    <w:rsid w:val="00987E9C"/>
    <w:rsid w:val="009948F4"/>
    <w:rsid w:val="00994DE7"/>
    <w:rsid w:val="00996E44"/>
    <w:rsid w:val="00996FAB"/>
    <w:rsid w:val="009A3F54"/>
    <w:rsid w:val="009A4A15"/>
    <w:rsid w:val="009A7CFB"/>
    <w:rsid w:val="009B0655"/>
    <w:rsid w:val="009B2207"/>
    <w:rsid w:val="009B23B8"/>
    <w:rsid w:val="009B3F8F"/>
    <w:rsid w:val="009B5865"/>
    <w:rsid w:val="009C2145"/>
    <w:rsid w:val="009C392C"/>
    <w:rsid w:val="009C6075"/>
    <w:rsid w:val="009C6411"/>
    <w:rsid w:val="009C71DC"/>
    <w:rsid w:val="009C7972"/>
    <w:rsid w:val="009C7B89"/>
    <w:rsid w:val="009D14E2"/>
    <w:rsid w:val="009D316D"/>
    <w:rsid w:val="009D6F98"/>
    <w:rsid w:val="009E154A"/>
    <w:rsid w:val="009E41DD"/>
    <w:rsid w:val="009E4C6E"/>
    <w:rsid w:val="009E7475"/>
    <w:rsid w:val="009F1C3A"/>
    <w:rsid w:val="009F263C"/>
    <w:rsid w:val="009F288A"/>
    <w:rsid w:val="009F3893"/>
    <w:rsid w:val="009F52D6"/>
    <w:rsid w:val="009F65F6"/>
    <w:rsid w:val="009F6981"/>
    <w:rsid w:val="00A009C0"/>
    <w:rsid w:val="00A011E7"/>
    <w:rsid w:val="00A060CD"/>
    <w:rsid w:val="00A06C24"/>
    <w:rsid w:val="00A10271"/>
    <w:rsid w:val="00A11167"/>
    <w:rsid w:val="00A1184F"/>
    <w:rsid w:val="00A163B0"/>
    <w:rsid w:val="00A21582"/>
    <w:rsid w:val="00A21E7D"/>
    <w:rsid w:val="00A233D8"/>
    <w:rsid w:val="00A24588"/>
    <w:rsid w:val="00A2570B"/>
    <w:rsid w:val="00A30487"/>
    <w:rsid w:val="00A310A3"/>
    <w:rsid w:val="00A3772D"/>
    <w:rsid w:val="00A40778"/>
    <w:rsid w:val="00A407DB"/>
    <w:rsid w:val="00A41F50"/>
    <w:rsid w:val="00A43A68"/>
    <w:rsid w:val="00A43DAD"/>
    <w:rsid w:val="00A4594B"/>
    <w:rsid w:val="00A471D8"/>
    <w:rsid w:val="00A47786"/>
    <w:rsid w:val="00A527CE"/>
    <w:rsid w:val="00A533A9"/>
    <w:rsid w:val="00A537A4"/>
    <w:rsid w:val="00A56FE6"/>
    <w:rsid w:val="00A6101C"/>
    <w:rsid w:val="00A64570"/>
    <w:rsid w:val="00A65352"/>
    <w:rsid w:val="00A66379"/>
    <w:rsid w:val="00A7244D"/>
    <w:rsid w:val="00A73D61"/>
    <w:rsid w:val="00A742AC"/>
    <w:rsid w:val="00A74E93"/>
    <w:rsid w:val="00A76333"/>
    <w:rsid w:val="00A77079"/>
    <w:rsid w:val="00A776CE"/>
    <w:rsid w:val="00A853FB"/>
    <w:rsid w:val="00A85449"/>
    <w:rsid w:val="00A85E93"/>
    <w:rsid w:val="00A8654A"/>
    <w:rsid w:val="00A8678C"/>
    <w:rsid w:val="00A95912"/>
    <w:rsid w:val="00A97635"/>
    <w:rsid w:val="00AA6620"/>
    <w:rsid w:val="00AB1F46"/>
    <w:rsid w:val="00AB26C3"/>
    <w:rsid w:val="00AB4AA9"/>
    <w:rsid w:val="00AB6548"/>
    <w:rsid w:val="00AB6661"/>
    <w:rsid w:val="00AC13A3"/>
    <w:rsid w:val="00AC458E"/>
    <w:rsid w:val="00AC58FB"/>
    <w:rsid w:val="00AC5C5D"/>
    <w:rsid w:val="00AC62C5"/>
    <w:rsid w:val="00AC7BB0"/>
    <w:rsid w:val="00AD0F8D"/>
    <w:rsid w:val="00AD5CF8"/>
    <w:rsid w:val="00AE273A"/>
    <w:rsid w:val="00AE4018"/>
    <w:rsid w:val="00AE62E1"/>
    <w:rsid w:val="00AF0088"/>
    <w:rsid w:val="00AF0D90"/>
    <w:rsid w:val="00AF524A"/>
    <w:rsid w:val="00AF56F0"/>
    <w:rsid w:val="00AF6618"/>
    <w:rsid w:val="00B00E43"/>
    <w:rsid w:val="00B01C08"/>
    <w:rsid w:val="00B0201D"/>
    <w:rsid w:val="00B02127"/>
    <w:rsid w:val="00B02E0D"/>
    <w:rsid w:val="00B0347E"/>
    <w:rsid w:val="00B036FB"/>
    <w:rsid w:val="00B04C11"/>
    <w:rsid w:val="00B1004D"/>
    <w:rsid w:val="00B10601"/>
    <w:rsid w:val="00B12149"/>
    <w:rsid w:val="00B1313B"/>
    <w:rsid w:val="00B16DC1"/>
    <w:rsid w:val="00B20241"/>
    <w:rsid w:val="00B22039"/>
    <w:rsid w:val="00B229EE"/>
    <w:rsid w:val="00B24720"/>
    <w:rsid w:val="00B26813"/>
    <w:rsid w:val="00B27456"/>
    <w:rsid w:val="00B3127C"/>
    <w:rsid w:val="00B330B0"/>
    <w:rsid w:val="00B3380D"/>
    <w:rsid w:val="00B3450A"/>
    <w:rsid w:val="00B35023"/>
    <w:rsid w:val="00B3751C"/>
    <w:rsid w:val="00B44ECF"/>
    <w:rsid w:val="00B45E73"/>
    <w:rsid w:val="00B460E6"/>
    <w:rsid w:val="00B46BD7"/>
    <w:rsid w:val="00B46D4C"/>
    <w:rsid w:val="00B47B6E"/>
    <w:rsid w:val="00B505C8"/>
    <w:rsid w:val="00B534E2"/>
    <w:rsid w:val="00B53D1C"/>
    <w:rsid w:val="00B55B72"/>
    <w:rsid w:val="00B55C46"/>
    <w:rsid w:val="00B566B6"/>
    <w:rsid w:val="00B60DF6"/>
    <w:rsid w:val="00B60E83"/>
    <w:rsid w:val="00B622F8"/>
    <w:rsid w:val="00B63B10"/>
    <w:rsid w:val="00B63F2C"/>
    <w:rsid w:val="00B64462"/>
    <w:rsid w:val="00B667B2"/>
    <w:rsid w:val="00B67595"/>
    <w:rsid w:val="00B67D9A"/>
    <w:rsid w:val="00B70177"/>
    <w:rsid w:val="00B71AD4"/>
    <w:rsid w:val="00B734B4"/>
    <w:rsid w:val="00B77A4E"/>
    <w:rsid w:val="00B836EA"/>
    <w:rsid w:val="00B92A68"/>
    <w:rsid w:val="00B92E70"/>
    <w:rsid w:val="00B935C0"/>
    <w:rsid w:val="00B94B9A"/>
    <w:rsid w:val="00B96585"/>
    <w:rsid w:val="00BA14B2"/>
    <w:rsid w:val="00BA45CB"/>
    <w:rsid w:val="00BA6AF6"/>
    <w:rsid w:val="00BB7240"/>
    <w:rsid w:val="00BC0754"/>
    <w:rsid w:val="00BC344E"/>
    <w:rsid w:val="00BC69BC"/>
    <w:rsid w:val="00BC7454"/>
    <w:rsid w:val="00BD3A66"/>
    <w:rsid w:val="00BD3F4A"/>
    <w:rsid w:val="00BD588E"/>
    <w:rsid w:val="00BD6052"/>
    <w:rsid w:val="00BD6D45"/>
    <w:rsid w:val="00BE21B1"/>
    <w:rsid w:val="00BE260D"/>
    <w:rsid w:val="00BE5100"/>
    <w:rsid w:val="00BE598E"/>
    <w:rsid w:val="00BE59E5"/>
    <w:rsid w:val="00BE7B2B"/>
    <w:rsid w:val="00BF00DC"/>
    <w:rsid w:val="00BF0868"/>
    <w:rsid w:val="00BF58B0"/>
    <w:rsid w:val="00BF66FB"/>
    <w:rsid w:val="00BF6B11"/>
    <w:rsid w:val="00BF743F"/>
    <w:rsid w:val="00BF7709"/>
    <w:rsid w:val="00BF7A68"/>
    <w:rsid w:val="00C00F71"/>
    <w:rsid w:val="00C014FB"/>
    <w:rsid w:val="00C02A55"/>
    <w:rsid w:val="00C04BFD"/>
    <w:rsid w:val="00C10BE8"/>
    <w:rsid w:val="00C157AC"/>
    <w:rsid w:val="00C16D7A"/>
    <w:rsid w:val="00C20843"/>
    <w:rsid w:val="00C26AB9"/>
    <w:rsid w:val="00C315D0"/>
    <w:rsid w:val="00C31A00"/>
    <w:rsid w:val="00C37BA8"/>
    <w:rsid w:val="00C445F2"/>
    <w:rsid w:val="00C52038"/>
    <w:rsid w:val="00C53166"/>
    <w:rsid w:val="00C5327F"/>
    <w:rsid w:val="00C5533F"/>
    <w:rsid w:val="00C578D1"/>
    <w:rsid w:val="00C6299C"/>
    <w:rsid w:val="00C64865"/>
    <w:rsid w:val="00C651BE"/>
    <w:rsid w:val="00C7109A"/>
    <w:rsid w:val="00C75C28"/>
    <w:rsid w:val="00C769EE"/>
    <w:rsid w:val="00C80468"/>
    <w:rsid w:val="00C80A64"/>
    <w:rsid w:val="00C81215"/>
    <w:rsid w:val="00C842E7"/>
    <w:rsid w:val="00C86E43"/>
    <w:rsid w:val="00C87C95"/>
    <w:rsid w:val="00CA0359"/>
    <w:rsid w:val="00CA0B2F"/>
    <w:rsid w:val="00CA1A25"/>
    <w:rsid w:val="00CA2E08"/>
    <w:rsid w:val="00CA3517"/>
    <w:rsid w:val="00CA37E0"/>
    <w:rsid w:val="00CA51E7"/>
    <w:rsid w:val="00CA5582"/>
    <w:rsid w:val="00CA632C"/>
    <w:rsid w:val="00CB0608"/>
    <w:rsid w:val="00CB0EBB"/>
    <w:rsid w:val="00CB1E05"/>
    <w:rsid w:val="00CB27D1"/>
    <w:rsid w:val="00CB331D"/>
    <w:rsid w:val="00CB4C2C"/>
    <w:rsid w:val="00CB6814"/>
    <w:rsid w:val="00CB695F"/>
    <w:rsid w:val="00CC02BD"/>
    <w:rsid w:val="00CC10CD"/>
    <w:rsid w:val="00CC57B7"/>
    <w:rsid w:val="00CC62C5"/>
    <w:rsid w:val="00CD1A80"/>
    <w:rsid w:val="00CD2ADE"/>
    <w:rsid w:val="00CD35D8"/>
    <w:rsid w:val="00CD5F34"/>
    <w:rsid w:val="00CD73B6"/>
    <w:rsid w:val="00CE0AC0"/>
    <w:rsid w:val="00CE0E41"/>
    <w:rsid w:val="00CE51A4"/>
    <w:rsid w:val="00CF0341"/>
    <w:rsid w:val="00CF4F0B"/>
    <w:rsid w:val="00CF5CB0"/>
    <w:rsid w:val="00CF69C2"/>
    <w:rsid w:val="00D0059C"/>
    <w:rsid w:val="00D0160A"/>
    <w:rsid w:val="00D04ED9"/>
    <w:rsid w:val="00D1056B"/>
    <w:rsid w:val="00D10FB1"/>
    <w:rsid w:val="00D11389"/>
    <w:rsid w:val="00D157C2"/>
    <w:rsid w:val="00D2127D"/>
    <w:rsid w:val="00D24959"/>
    <w:rsid w:val="00D31582"/>
    <w:rsid w:val="00D36102"/>
    <w:rsid w:val="00D36274"/>
    <w:rsid w:val="00D40CB2"/>
    <w:rsid w:val="00D43F80"/>
    <w:rsid w:val="00D44A64"/>
    <w:rsid w:val="00D44DCA"/>
    <w:rsid w:val="00D5117A"/>
    <w:rsid w:val="00D553E9"/>
    <w:rsid w:val="00D55573"/>
    <w:rsid w:val="00D621FD"/>
    <w:rsid w:val="00D62636"/>
    <w:rsid w:val="00D629AD"/>
    <w:rsid w:val="00D63455"/>
    <w:rsid w:val="00D65DC6"/>
    <w:rsid w:val="00D66EA2"/>
    <w:rsid w:val="00D70503"/>
    <w:rsid w:val="00D714A3"/>
    <w:rsid w:val="00D75CB4"/>
    <w:rsid w:val="00D7722D"/>
    <w:rsid w:val="00D774CD"/>
    <w:rsid w:val="00D80D9E"/>
    <w:rsid w:val="00D82176"/>
    <w:rsid w:val="00D8230F"/>
    <w:rsid w:val="00D86505"/>
    <w:rsid w:val="00D86728"/>
    <w:rsid w:val="00D91657"/>
    <w:rsid w:val="00D97CA3"/>
    <w:rsid w:val="00DA0320"/>
    <w:rsid w:val="00DA3B2F"/>
    <w:rsid w:val="00DA47C6"/>
    <w:rsid w:val="00DA5244"/>
    <w:rsid w:val="00DB03E1"/>
    <w:rsid w:val="00DB3044"/>
    <w:rsid w:val="00DB51F9"/>
    <w:rsid w:val="00DC45BA"/>
    <w:rsid w:val="00DC7C14"/>
    <w:rsid w:val="00DD0D62"/>
    <w:rsid w:val="00DD18AD"/>
    <w:rsid w:val="00DE13AF"/>
    <w:rsid w:val="00DE4E00"/>
    <w:rsid w:val="00DE721D"/>
    <w:rsid w:val="00DE7D1B"/>
    <w:rsid w:val="00E00C13"/>
    <w:rsid w:val="00E016F6"/>
    <w:rsid w:val="00E02428"/>
    <w:rsid w:val="00E06987"/>
    <w:rsid w:val="00E10B52"/>
    <w:rsid w:val="00E11AC2"/>
    <w:rsid w:val="00E176DD"/>
    <w:rsid w:val="00E1790B"/>
    <w:rsid w:val="00E20439"/>
    <w:rsid w:val="00E207BC"/>
    <w:rsid w:val="00E215BB"/>
    <w:rsid w:val="00E22ACF"/>
    <w:rsid w:val="00E26795"/>
    <w:rsid w:val="00E276F0"/>
    <w:rsid w:val="00E30603"/>
    <w:rsid w:val="00E33B48"/>
    <w:rsid w:val="00E36556"/>
    <w:rsid w:val="00E36FC5"/>
    <w:rsid w:val="00E415C8"/>
    <w:rsid w:val="00E42CD1"/>
    <w:rsid w:val="00E44BC0"/>
    <w:rsid w:val="00E46461"/>
    <w:rsid w:val="00E5064D"/>
    <w:rsid w:val="00E54E29"/>
    <w:rsid w:val="00E64007"/>
    <w:rsid w:val="00E64E4F"/>
    <w:rsid w:val="00E65804"/>
    <w:rsid w:val="00E769FE"/>
    <w:rsid w:val="00E7702A"/>
    <w:rsid w:val="00E827EA"/>
    <w:rsid w:val="00E85837"/>
    <w:rsid w:val="00E859ED"/>
    <w:rsid w:val="00E8709A"/>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D8B"/>
    <w:rsid w:val="00EB6E3F"/>
    <w:rsid w:val="00EC0213"/>
    <w:rsid w:val="00EC26F6"/>
    <w:rsid w:val="00EC2A51"/>
    <w:rsid w:val="00EC4E06"/>
    <w:rsid w:val="00EC5C7D"/>
    <w:rsid w:val="00EC61CF"/>
    <w:rsid w:val="00EC6337"/>
    <w:rsid w:val="00EC7A70"/>
    <w:rsid w:val="00ED1D21"/>
    <w:rsid w:val="00ED24FF"/>
    <w:rsid w:val="00ED2CB2"/>
    <w:rsid w:val="00ED4D73"/>
    <w:rsid w:val="00ED64B6"/>
    <w:rsid w:val="00EE0C5D"/>
    <w:rsid w:val="00EE498C"/>
    <w:rsid w:val="00EF178D"/>
    <w:rsid w:val="00EF195D"/>
    <w:rsid w:val="00EF3484"/>
    <w:rsid w:val="00EF3D59"/>
    <w:rsid w:val="00EF54BF"/>
    <w:rsid w:val="00EF7AC9"/>
    <w:rsid w:val="00F0036C"/>
    <w:rsid w:val="00F04D32"/>
    <w:rsid w:val="00F114D8"/>
    <w:rsid w:val="00F13643"/>
    <w:rsid w:val="00F14F04"/>
    <w:rsid w:val="00F179A7"/>
    <w:rsid w:val="00F21522"/>
    <w:rsid w:val="00F22559"/>
    <w:rsid w:val="00F227D1"/>
    <w:rsid w:val="00F23169"/>
    <w:rsid w:val="00F260A0"/>
    <w:rsid w:val="00F35612"/>
    <w:rsid w:val="00F35FAE"/>
    <w:rsid w:val="00F37321"/>
    <w:rsid w:val="00F37E5A"/>
    <w:rsid w:val="00F41B54"/>
    <w:rsid w:val="00F502D0"/>
    <w:rsid w:val="00F50E21"/>
    <w:rsid w:val="00F517CB"/>
    <w:rsid w:val="00F5204A"/>
    <w:rsid w:val="00F53CD2"/>
    <w:rsid w:val="00F54C0B"/>
    <w:rsid w:val="00F553CA"/>
    <w:rsid w:val="00F5716A"/>
    <w:rsid w:val="00F57FD9"/>
    <w:rsid w:val="00F60EF9"/>
    <w:rsid w:val="00F618FA"/>
    <w:rsid w:val="00F646F1"/>
    <w:rsid w:val="00F67866"/>
    <w:rsid w:val="00F73B5B"/>
    <w:rsid w:val="00F755CE"/>
    <w:rsid w:val="00F77C25"/>
    <w:rsid w:val="00F81BE8"/>
    <w:rsid w:val="00F82B64"/>
    <w:rsid w:val="00F830B3"/>
    <w:rsid w:val="00F83946"/>
    <w:rsid w:val="00F843E3"/>
    <w:rsid w:val="00F8454B"/>
    <w:rsid w:val="00F84DD3"/>
    <w:rsid w:val="00F85B88"/>
    <w:rsid w:val="00F92A49"/>
    <w:rsid w:val="00F94356"/>
    <w:rsid w:val="00F95CDE"/>
    <w:rsid w:val="00F96205"/>
    <w:rsid w:val="00FA070C"/>
    <w:rsid w:val="00FA20B6"/>
    <w:rsid w:val="00FA38C0"/>
    <w:rsid w:val="00FA52F7"/>
    <w:rsid w:val="00FA5807"/>
    <w:rsid w:val="00FA6477"/>
    <w:rsid w:val="00FA7103"/>
    <w:rsid w:val="00FA7F42"/>
    <w:rsid w:val="00FB1E71"/>
    <w:rsid w:val="00FB2466"/>
    <w:rsid w:val="00FB3570"/>
    <w:rsid w:val="00FB63DC"/>
    <w:rsid w:val="00FB7A64"/>
    <w:rsid w:val="00FC1890"/>
    <w:rsid w:val="00FC799A"/>
    <w:rsid w:val="00FD0ABE"/>
    <w:rsid w:val="00FD1E2F"/>
    <w:rsid w:val="00FD6538"/>
    <w:rsid w:val="00FD6B8D"/>
    <w:rsid w:val="00FE2FF6"/>
    <w:rsid w:val="00FE3B8E"/>
    <w:rsid w:val="00FE444D"/>
    <w:rsid w:val="00FE499E"/>
    <w:rsid w:val="00FF009A"/>
    <w:rsid w:val="00FF5E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29AF"/>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3" Type="http://schemas.openxmlformats.org/officeDocument/2006/relationships/styles" Target="styles.xml"/><Relationship Id="rId7" Type="http://schemas.openxmlformats.org/officeDocument/2006/relationships/oleObject" Target="embeddings/Microsoft_Visio_2003-2010_Drawing132.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32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DA3A9-0E7C-4772-8F3A-26C43E24B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20720</TotalTime>
  <Pages>4</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277</cp:revision>
  <dcterms:created xsi:type="dcterms:W3CDTF">2019-10-04T18:09:00Z</dcterms:created>
  <dcterms:modified xsi:type="dcterms:W3CDTF">2022-11-07T14:17:00Z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